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A806" w14:textId="77777777" w:rsidR="00FF1450" w:rsidRDefault="00631965" w:rsidP="005724BB">
      <w:pPr>
        <w:jc w:val="right"/>
        <w:rPr>
          <w:rFonts w:ascii="Arial" w:hAnsi="Arial" w:cs="Arial"/>
          <w:sz w:val="22"/>
          <w:szCs w:val="22"/>
        </w:rPr>
      </w:pPr>
      <w:r>
        <w:rPr>
          <w:noProof/>
        </w:rPr>
        <w:drawing>
          <wp:inline distT="0" distB="0" distL="0" distR="0" wp14:anchorId="4266EA38" wp14:editId="013435C6">
            <wp:extent cx="2276475" cy="600075"/>
            <wp:effectExtent l="0" t="0" r="9525" b="9525"/>
            <wp:docPr id="2" name="Picture 2" descr="Imperial College Healthcare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NHS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p w14:paraId="1070C746" w14:textId="77777777" w:rsidR="00631965" w:rsidRDefault="00631965" w:rsidP="00285A64">
      <w:pPr>
        <w:rPr>
          <w:rFonts w:ascii="Arial" w:hAnsi="Arial" w:cs="Arial"/>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7"/>
      </w:tblGrid>
      <w:tr w:rsidR="00246CF5" w:rsidRPr="003C6711" w14:paraId="4D103092" w14:textId="77777777" w:rsidTr="00E96D01">
        <w:trPr>
          <w:trHeight w:val="762"/>
        </w:trPr>
        <w:tc>
          <w:tcPr>
            <w:tcW w:w="10490" w:type="dxa"/>
            <w:gridSpan w:val="2"/>
            <w:shd w:val="clear" w:color="auto" w:fill="0070C0"/>
          </w:tcPr>
          <w:p w14:paraId="080826E6" w14:textId="0D4DF985" w:rsidR="005F18C5" w:rsidRPr="003C6711" w:rsidRDefault="003C71DF" w:rsidP="00E96D01">
            <w:pPr>
              <w:jc w:val="center"/>
              <w:rPr>
                <w:rFonts w:ascii="Arial" w:hAnsi="Arial" w:cs="Arial"/>
                <w:b/>
                <w:color w:val="FFFFFF"/>
                <w:szCs w:val="22"/>
              </w:rPr>
            </w:pPr>
            <w:r>
              <w:rPr>
                <w:rFonts w:ascii="Arial" w:hAnsi="Arial" w:cs="Arial"/>
                <w:b/>
                <w:color w:val="FFFFFF"/>
                <w:szCs w:val="22"/>
              </w:rPr>
              <w:t>Health &amp; Social Care Scrutiny Sub-Committee</w:t>
            </w:r>
          </w:p>
          <w:p w14:paraId="25B93418" w14:textId="500729D1" w:rsidR="001460BE" w:rsidRPr="00E96D01" w:rsidRDefault="00CD71DE" w:rsidP="00E96D01">
            <w:pPr>
              <w:jc w:val="center"/>
              <w:rPr>
                <w:rFonts w:ascii="Arial" w:hAnsi="Arial" w:cs="Arial"/>
                <w:color w:val="FFFFFF"/>
                <w:szCs w:val="22"/>
              </w:rPr>
            </w:pPr>
            <w:r w:rsidRPr="003C6711">
              <w:rPr>
                <w:rFonts w:ascii="Arial" w:hAnsi="Arial" w:cs="Arial"/>
                <w:b/>
                <w:color w:val="FFFFFF"/>
                <w:szCs w:val="22"/>
              </w:rPr>
              <w:t>REPORT SUMMARY</w:t>
            </w:r>
          </w:p>
        </w:tc>
      </w:tr>
      <w:tr w:rsidR="005F18C5" w:rsidRPr="003C6711" w14:paraId="4D39582F" w14:textId="77777777" w:rsidTr="00E96D01">
        <w:trPr>
          <w:trHeight w:val="547"/>
        </w:trPr>
        <w:tc>
          <w:tcPr>
            <w:tcW w:w="5103" w:type="dxa"/>
          </w:tcPr>
          <w:p w14:paraId="1ED8CD98" w14:textId="3EE37C38" w:rsidR="005F18C5" w:rsidRPr="003C6711" w:rsidRDefault="005F18C5" w:rsidP="005F18C5">
            <w:pPr>
              <w:rPr>
                <w:rFonts w:ascii="Arial" w:hAnsi="Arial" w:cs="Arial"/>
                <w:sz w:val="22"/>
                <w:szCs w:val="22"/>
              </w:rPr>
            </w:pPr>
            <w:r w:rsidRPr="003C6711">
              <w:rPr>
                <w:rFonts w:ascii="Arial" w:hAnsi="Arial" w:cs="Arial"/>
                <w:b/>
                <w:sz w:val="22"/>
                <w:szCs w:val="22"/>
              </w:rPr>
              <w:t xml:space="preserve">Title of report:  </w:t>
            </w:r>
            <w:r w:rsidR="008A3B31">
              <w:rPr>
                <w:rFonts w:ascii="Arial" w:hAnsi="Arial" w:cs="Arial"/>
                <w:sz w:val="22"/>
                <w:szCs w:val="22"/>
              </w:rPr>
              <w:t>Final Draft</w:t>
            </w:r>
            <w:r w:rsidR="00021E7A">
              <w:rPr>
                <w:rFonts w:ascii="Arial" w:hAnsi="Arial" w:cs="Arial"/>
                <w:sz w:val="22"/>
                <w:szCs w:val="22"/>
              </w:rPr>
              <w:t xml:space="preserve"> Quality Account 2018/19</w:t>
            </w:r>
          </w:p>
        </w:tc>
        <w:tc>
          <w:tcPr>
            <w:tcW w:w="5387" w:type="dxa"/>
          </w:tcPr>
          <w:p w14:paraId="7E5405D3" w14:textId="4FFD739F" w:rsidR="005F18C5" w:rsidRPr="003C6711" w:rsidRDefault="008A3B31" w:rsidP="005F18C5">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r w:rsidR="005F18C5" w:rsidRPr="003C6711">
              <w:rPr>
                <w:rFonts w:ascii="Arial" w:hAnsi="Arial" w:cs="Arial"/>
                <w:sz w:val="22"/>
                <w:szCs w:val="22"/>
              </w:rPr>
              <w:t xml:space="preserve"> </w:t>
            </w:r>
            <w:r w:rsidR="003C71DF">
              <w:rPr>
                <w:rFonts w:ascii="Arial" w:hAnsi="Arial" w:cs="Arial"/>
                <w:sz w:val="22"/>
                <w:szCs w:val="22"/>
              </w:rPr>
              <w:t>Information</w:t>
            </w:r>
          </w:p>
          <w:p w14:paraId="360DDF39" w14:textId="3DDC1376" w:rsidR="005F18C5" w:rsidRPr="003C6711" w:rsidRDefault="005F18C5" w:rsidP="005F18C5">
            <w:pPr>
              <w:rPr>
                <w:rFonts w:ascii="Arial" w:hAnsi="Arial" w:cs="Arial"/>
                <w:b/>
                <w:sz w:val="22"/>
                <w:szCs w:val="22"/>
              </w:rPr>
            </w:pPr>
          </w:p>
        </w:tc>
      </w:tr>
      <w:tr w:rsidR="005F18C5" w:rsidRPr="003C6711" w14:paraId="757967C4" w14:textId="77777777" w:rsidTr="00BA4F0C">
        <w:trPr>
          <w:trHeight w:val="421"/>
        </w:trPr>
        <w:tc>
          <w:tcPr>
            <w:tcW w:w="5103" w:type="dxa"/>
          </w:tcPr>
          <w:p w14:paraId="2BF8F20B" w14:textId="16E74BC3" w:rsidR="005F18C5" w:rsidRPr="003C6711" w:rsidRDefault="005F18C5" w:rsidP="003C71DF">
            <w:pPr>
              <w:rPr>
                <w:rFonts w:ascii="Arial" w:hAnsi="Arial" w:cs="Arial"/>
                <w:sz w:val="22"/>
                <w:szCs w:val="22"/>
              </w:rPr>
            </w:pPr>
            <w:r w:rsidRPr="003C6711">
              <w:rPr>
                <w:rFonts w:ascii="Arial" w:hAnsi="Arial" w:cs="Arial"/>
                <w:b/>
                <w:sz w:val="22"/>
                <w:szCs w:val="22"/>
              </w:rPr>
              <w:t xml:space="preserve">Date of Meeting: </w:t>
            </w:r>
            <w:r w:rsidR="003C71DF">
              <w:rPr>
                <w:rFonts w:ascii="Arial" w:hAnsi="Arial" w:cs="Arial"/>
                <w:sz w:val="22"/>
                <w:szCs w:val="22"/>
              </w:rPr>
              <w:t>12 June</w:t>
            </w:r>
            <w:r w:rsidR="008A3B31">
              <w:rPr>
                <w:rFonts w:ascii="Arial" w:hAnsi="Arial" w:cs="Arial"/>
                <w:sz w:val="22"/>
                <w:szCs w:val="22"/>
              </w:rPr>
              <w:t xml:space="preserve"> 2019</w:t>
            </w:r>
          </w:p>
        </w:tc>
        <w:tc>
          <w:tcPr>
            <w:tcW w:w="5387" w:type="dxa"/>
          </w:tcPr>
          <w:p w14:paraId="086A6A37" w14:textId="38214ED4" w:rsidR="005F18C5" w:rsidRPr="003C6711" w:rsidRDefault="0044328B" w:rsidP="00E96D01">
            <w:pPr>
              <w:rPr>
                <w:rFonts w:ascii="Arial" w:hAnsi="Arial" w:cs="Arial"/>
                <w:b/>
                <w:sz w:val="22"/>
                <w:szCs w:val="22"/>
              </w:rPr>
            </w:pPr>
            <w:r w:rsidRPr="003C6711">
              <w:rPr>
                <w:rFonts w:ascii="Arial" w:hAnsi="Arial" w:cs="Arial"/>
                <w:b/>
                <w:sz w:val="22"/>
                <w:szCs w:val="22"/>
              </w:rPr>
              <w:t>Item and report no.</w:t>
            </w:r>
            <w:r w:rsidR="005F18C5" w:rsidRPr="003C6711">
              <w:rPr>
                <w:rFonts w:ascii="Arial" w:hAnsi="Arial" w:cs="Arial"/>
                <w:b/>
                <w:sz w:val="22"/>
                <w:szCs w:val="22"/>
              </w:rPr>
              <w:t xml:space="preserve"> </w:t>
            </w:r>
            <w:r w:rsidR="005F18C5" w:rsidRPr="003C6711">
              <w:rPr>
                <w:rFonts w:ascii="Arial" w:hAnsi="Arial" w:cs="Arial"/>
                <w:sz w:val="22"/>
                <w:szCs w:val="22"/>
              </w:rPr>
              <w:t xml:space="preserve">xx </w:t>
            </w:r>
          </w:p>
        </w:tc>
      </w:tr>
      <w:tr w:rsidR="00183DB1" w:rsidRPr="003C6711" w14:paraId="48DF8738" w14:textId="77777777" w:rsidTr="00BA4F0C">
        <w:trPr>
          <w:trHeight w:val="568"/>
        </w:trPr>
        <w:tc>
          <w:tcPr>
            <w:tcW w:w="5103" w:type="dxa"/>
          </w:tcPr>
          <w:p w14:paraId="4D8EB55A" w14:textId="77777777" w:rsidR="00183DB1" w:rsidRPr="003C6711" w:rsidRDefault="00631965" w:rsidP="005F18C5">
            <w:pPr>
              <w:rPr>
                <w:rFonts w:ascii="Arial" w:hAnsi="Arial" w:cs="Arial"/>
                <w:b/>
                <w:sz w:val="22"/>
                <w:szCs w:val="22"/>
              </w:rPr>
            </w:pPr>
            <w:r w:rsidRPr="003C6711">
              <w:rPr>
                <w:rFonts w:ascii="Arial" w:hAnsi="Arial" w:cs="Arial"/>
                <w:b/>
                <w:sz w:val="22"/>
                <w:szCs w:val="22"/>
              </w:rPr>
              <w:t xml:space="preserve">Responsible Executive </w:t>
            </w:r>
            <w:r w:rsidR="00183DB1" w:rsidRPr="003C6711">
              <w:rPr>
                <w:rFonts w:ascii="Arial" w:hAnsi="Arial" w:cs="Arial"/>
                <w:b/>
                <w:sz w:val="22"/>
                <w:szCs w:val="22"/>
              </w:rPr>
              <w:t xml:space="preserve">Director:  </w:t>
            </w:r>
          </w:p>
          <w:p w14:paraId="76D00DF1" w14:textId="77777777" w:rsidR="00183DB1" w:rsidRPr="003C6711" w:rsidRDefault="00DC5A0E" w:rsidP="005F18C5">
            <w:pPr>
              <w:rPr>
                <w:rFonts w:ascii="Arial" w:hAnsi="Arial" w:cs="Arial"/>
                <w:sz w:val="22"/>
                <w:szCs w:val="22"/>
              </w:rPr>
            </w:pPr>
            <w:r>
              <w:rPr>
                <w:rFonts w:ascii="Arial" w:hAnsi="Arial" w:cs="Arial"/>
                <w:sz w:val="22"/>
                <w:szCs w:val="22"/>
              </w:rPr>
              <w:t>Julian Redhead, medical director</w:t>
            </w:r>
          </w:p>
          <w:p w14:paraId="26B3C4FF" w14:textId="77777777" w:rsidR="00183DB1" w:rsidRPr="003C6711" w:rsidRDefault="00183DB1" w:rsidP="005F18C5">
            <w:pPr>
              <w:rPr>
                <w:rFonts w:ascii="Arial" w:hAnsi="Arial" w:cs="Arial"/>
                <w:sz w:val="22"/>
                <w:szCs w:val="22"/>
              </w:rPr>
            </w:pPr>
          </w:p>
        </w:tc>
        <w:tc>
          <w:tcPr>
            <w:tcW w:w="5387" w:type="dxa"/>
          </w:tcPr>
          <w:p w14:paraId="59993A95" w14:textId="77777777" w:rsidR="00183DB1" w:rsidRPr="003C6711" w:rsidRDefault="00183DB1" w:rsidP="005F18C5">
            <w:pPr>
              <w:rPr>
                <w:rFonts w:ascii="Arial" w:hAnsi="Arial" w:cs="Arial"/>
                <w:b/>
                <w:sz w:val="22"/>
                <w:szCs w:val="22"/>
              </w:rPr>
            </w:pPr>
            <w:r w:rsidRPr="003C6711">
              <w:rPr>
                <w:rFonts w:ascii="Arial" w:hAnsi="Arial" w:cs="Arial"/>
                <w:b/>
                <w:sz w:val="22"/>
                <w:szCs w:val="22"/>
              </w:rPr>
              <w:t>Author:</w:t>
            </w:r>
          </w:p>
          <w:p w14:paraId="7370C918" w14:textId="430EAE40" w:rsidR="00E12CE3" w:rsidRPr="003C6711" w:rsidRDefault="00DC5A0E" w:rsidP="005F18C5">
            <w:pPr>
              <w:rPr>
                <w:rFonts w:ascii="Arial" w:hAnsi="Arial" w:cs="Arial"/>
                <w:sz w:val="22"/>
                <w:szCs w:val="22"/>
              </w:rPr>
            </w:pPr>
            <w:proofErr w:type="spellStart"/>
            <w:r>
              <w:rPr>
                <w:rFonts w:ascii="Arial" w:hAnsi="Arial" w:cs="Arial"/>
                <w:sz w:val="22"/>
                <w:szCs w:val="22"/>
              </w:rPr>
              <w:t>Clemmie</w:t>
            </w:r>
            <w:proofErr w:type="spellEnd"/>
            <w:r>
              <w:rPr>
                <w:rFonts w:ascii="Arial" w:hAnsi="Arial" w:cs="Arial"/>
                <w:sz w:val="22"/>
                <w:szCs w:val="22"/>
              </w:rPr>
              <w:t xml:space="preserve"> Burbidge, compliance and assurance improvement lead</w:t>
            </w:r>
          </w:p>
        </w:tc>
      </w:tr>
      <w:tr w:rsidR="00F67F2C" w:rsidRPr="003C6711" w14:paraId="1504391B" w14:textId="77777777" w:rsidTr="00BA4F0C">
        <w:tc>
          <w:tcPr>
            <w:tcW w:w="10490" w:type="dxa"/>
            <w:gridSpan w:val="2"/>
          </w:tcPr>
          <w:p w14:paraId="78A1D34E" w14:textId="056420B4" w:rsidR="00021E7A" w:rsidRPr="00021E7A" w:rsidRDefault="00F67F2C" w:rsidP="00021E7A">
            <w:pPr>
              <w:rPr>
                <w:rFonts w:ascii="Arial" w:hAnsi="Arial" w:cs="Arial"/>
                <w:b/>
                <w:sz w:val="22"/>
                <w:szCs w:val="22"/>
              </w:rPr>
            </w:pPr>
            <w:r w:rsidRPr="003C6711">
              <w:rPr>
                <w:rFonts w:ascii="Arial" w:hAnsi="Arial" w:cs="Arial"/>
                <w:b/>
                <w:sz w:val="22"/>
                <w:szCs w:val="22"/>
              </w:rPr>
              <w:t>Summary</w:t>
            </w:r>
            <w:r w:rsidR="00631965" w:rsidRPr="003C6711">
              <w:rPr>
                <w:rFonts w:ascii="Arial" w:hAnsi="Arial" w:cs="Arial"/>
                <w:b/>
                <w:sz w:val="22"/>
                <w:szCs w:val="22"/>
              </w:rPr>
              <w:t>:</w:t>
            </w:r>
          </w:p>
          <w:p w14:paraId="7D7E1059" w14:textId="77777777" w:rsidR="00E96D01" w:rsidRPr="00E96D01" w:rsidRDefault="00E96D01" w:rsidP="00E96D01">
            <w:pPr>
              <w:ind w:right="175"/>
              <w:rPr>
                <w:rFonts w:ascii="Arial" w:hAnsi="Arial" w:cs="Arial"/>
              </w:rPr>
            </w:pPr>
            <w:r w:rsidRPr="00E96D01">
              <w:rPr>
                <w:rFonts w:ascii="Arial" w:hAnsi="Arial" w:cs="Arial"/>
                <w:sz w:val="22"/>
                <w:szCs w:val="22"/>
              </w:rPr>
              <w:t>Quality accounts are annual reports to the public from NHS healthcare providers about the quality of services they deliver. Their purpose is to encourage boards and leaders of healthcare organisations to demonstrate their commitment to continuous, evidence-based quality improvement, to assess quality across all of the healthcare services they offer and to explain their progress to the public</w:t>
            </w:r>
            <w:r w:rsidRPr="00E96D01">
              <w:rPr>
                <w:rFonts w:ascii="Arial" w:hAnsi="Arial" w:cs="Arial"/>
              </w:rPr>
              <w:t>.</w:t>
            </w:r>
          </w:p>
          <w:p w14:paraId="5D4B739F" w14:textId="77777777" w:rsidR="00E96D01" w:rsidRDefault="00E96D01" w:rsidP="00510512">
            <w:pPr>
              <w:autoSpaceDE w:val="0"/>
              <w:autoSpaceDN w:val="0"/>
              <w:adjustRightInd w:val="0"/>
              <w:rPr>
                <w:rFonts w:ascii="Arial" w:hAnsi="Arial" w:cs="Arial"/>
                <w:sz w:val="22"/>
                <w:szCs w:val="22"/>
              </w:rPr>
            </w:pPr>
          </w:p>
          <w:p w14:paraId="40764A11" w14:textId="4F54D171" w:rsidR="008A3B31" w:rsidRPr="008446AC" w:rsidRDefault="00E96D01" w:rsidP="005C31A9">
            <w:pPr>
              <w:ind w:right="33"/>
              <w:rPr>
                <w:rFonts w:ascii="Arial" w:hAnsi="Arial" w:cs="Arial"/>
                <w:sz w:val="22"/>
                <w:szCs w:val="22"/>
              </w:rPr>
            </w:pPr>
            <w:r w:rsidRPr="00201CA7">
              <w:rPr>
                <w:rFonts w:ascii="Arial" w:hAnsi="Arial" w:cs="Arial"/>
                <w:sz w:val="22"/>
                <w:szCs w:val="22"/>
              </w:rPr>
              <w:t xml:space="preserve">Appendix 1 is </w:t>
            </w:r>
            <w:r w:rsidR="00850C41">
              <w:rPr>
                <w:rFonts w:ascii="Arial" w:hAnsi="Arial" w:cs="Arial"/>
                <w:sz w:val="22"/>
                <w:szCs w:val="22"/>
              </w:rPr>
              <w:t xml:space="preserve">Imperial College Healthcare NHS </w:t>
            </w:r>
            <w:r w:rsidR="003E7743">
              <w:rPr>
                <w:rFonts w:ascii="Arial" w:hAnsi="Arial" w:cs="Arial"/>
                <w:sz w:val="22"/>
                <w:szCs w:val="22"/>
              </w:rPr>
              <w:t xml:space="preserve">Trust’s </w:t>
            </w:r>
            <w:r w:rsidRPr="00201CA7">
              <w:rPr>
                <w:rFonts w:ascii="Arial" w:hAnsi="Arial" w:cs="Arial"/>
                <w:sz w:val="22"/>
                <w:szCs w:val="22"/>
              </w:rPr>
              <w:t>final draft quality account for 2018/19</w:t>
            </w:r>
            <w:r>
              <w:rPr>
                <w:rFonts w:ascii="Arial" w:hAnsi="Arial" w:cs="Arial"/>
                <w:sz w:val="22"/>
                <w:szCs w:val="22"/>
              </w:rPr>
              <w:t xml:space="preserve">. It </w:t>
            </w:r>
            <w:r w:rsidR="003E7743">
              <w:rPr>
                <w:rFonts w:ascii="Arial" w:hAnsi="Arial" w:cs="Arial"/>
                <w:sz w:val="22"/>
                <w:szCs w:val="22"/>
              </w:rPr>
              <w:t>was</w:t>
            </w:r>
            <w:r>
              <w:rPr>
                <w:rFonts w:ascii="Arial" w:hAnsi="Arial" w:cs="Arial"/>
                <w:sz w:val="22"/>
                <w:szCs w:val="22"/>
              </w:rPr>
              <w:t xml:space="preserve"> approved </w:t>
            </w:r>
            <w:r w:rsidR="003C71DF">
              <w:rPr>
                <w:rFonts w:ascii="Arial" w:hAnsi="Arial" w:cs="Arial"/>
                <w:sz w:val="22"/>
                <w:szCs w:val="22"/>
              </w:rPr>
              <w:t>by our Audit, Risk &amp; Governance Committee on 22</w:t>
            </w:r>
            <w:r w:rsidR="003C71DF" w:rsidRPr="003C71DF">
              <w:rPr>
                <w:rFonts w:ascii="Arial" w:hAnsi="Arial" w:cs="Arial"/>
                <w:sz w:val="22"/>
                <w:szCs w:val="22"/>
                <w:vertAlign w:val="superscript"/>
              </w:rPr>
              <w:t>nd</w:t>
            </w:r>
            <w:r w:rsidR="003C71DF">
              <w:rPr>
                <w:rFonts w:ascii="Arial" w:hAnsi="Arial" w:cs="Arial"/>
                <w:sz w:val="22"/>
                <w:szCs w:val="22"/>
              </w:rPr>
              <w:t xml:space="preserve"> May 2019</w:t>
            </w:r>
            <w:r w:rsidR="003E7743">
              <w:rPr>
                <w:rFonts w:ascii="Arial" w:hAnsi="Arial" w:cs="Arial"/>
                <w:sz w:val="22"/>
                <w:szCs w:val="22"/>
              </w:rPr>
              <w:t xml:space="preserve"> </w:t>
            </w:r>
            <w:r>
              <w:rPr>
                <w:rFonts w:ascii="Arial" w:hAnsi="Arial" w:cs="Arial"/>
                <w:sz w:val="22"/>
                <w:szCs w:val="22"/>
              </w:rPr>
              <w:t xml:space="preserve">and has undergone the required consultation process with internal and external stakeholders. </w:t>
            </w:r>
            <w:r w:rsidR="003C71DF">
              <w:rPr>
                <w:rFonts w:ascii="Arial" w:hAnsi="Arial" w:cs="Arial"/>
                <w:sz w:val="22"/>
                <w:szCs w:val="22"/>
              </w:rPr>
              <w:t xml:space="preserve">It is being presented to the committee at the request of the council.  </w:t>
            </w:r>
          </w:p>
        </w:tc>
      </w:tr>
      <w:tr w:rsidR="00E06D31" w:rsidRPr="00BA4F0C" w14:paraId="6F3511A9" w14:textId="77777777" w:rsidTr="00BA4F0C">
        <w:tc>
          <w:tcPr>
            <w:tcW w:w="10490" w:type="dxa"/>
            <w:gridSpan w:val="2"/>
          </w:tcPr>
          <w:p w14:paraId="4B1C3D77" w14:textId="2778BEF3" w:rsidR="00965D01" w:rsidRPr="00E96D01" w:rsidRDefault="00631965" w:rsidP="00965D01">
            <w:pPr>
              <w:ind w:right="175"/>
              <w:rPr>
                <w:rFonts w:ascii="Arial" w:hAnsi="Arial" w:cs="Arial"/>
                <w:b/>
                <w:sz w:val="22"/>
                <w:szCs w:val="22"/>
              </w:rPr>
            </w:pPr>
            <w:r w:rsidRPr="00C30398">
              <w:rPr>
                <w:rFonts w:ascii="Arial" w:hAnsi="Arial" w:cs="Arial"/>
                <w:b/>
                <w:sz w:val="22"/>
                <w:szCs w:val="22"/>
              </w:rPr>
              <w:t>Recommendations:</w:t>
            </w:r>
            <w:r w:rsidR="00E96D01">
              <w:rPr>
                <w:rFonts w:ascii="Arial" w:hAnsi="Arial" w:cs="Arial"/>
                <w:b/>
                <w:sz w:val="22"/>
                <w:szCs w:val="22"/>
              </w:rPr>
              <w:t xml:space="preserve"> </w:t>
            </w:r>
          </w:p>
          <w:p w14:paraId="068674A2" w14:textId="01838757" w:rsidR="00E96D01" w:rsidRPr="003C71DF" w:rsidRDefault="003C71DF" w:rsidP="005C31A9">
            <w:pPr>
              <w:rPr>
                <w:rFonts w:ascii="Arial" w:hAnsi="Arial" w:cs="Arial"/>
                <w:sz w:val="22"/>
                <w:szCs w:val="22"/>
              </w:rPr>
            </w:pPr>
            <w:r>
              <w:rPr>
                <w:rFonts w:ascii="Arial" w:hAnsi="Arial" w:cs="Arial"/>
                <w:sz w:val="22"/>
                <w:szCs w:val="22"/>
              </w:rPr>
              <w:t>The committee is asked to note the final draft quality account.</w:t>
            </w:r>
          </w:p>
        </w:tc>
      </w:tr>
      <w:tr w:rsidR="005F18C5" w:rsidRPr="003C6711" w14:paraId="43C660D8" w14:textId="77777777" w:rsidTr="00BA4F0C">
        <w:tc>
          <w:tcPr>
            <w:tcW w:w="10490" w:type="dxa"/>
            <w:gridSpan w:val="2"/>
            <w:tcBorders>
              <w:top w:val="single" w:sz="4" w:space="0" w:color="auto"/>
              <w:left w:val="single" w:sz="4" w:space="0" w:color="auto"/>
              <w:bottom w:val="single" w:sz="4" w:space="0" w:color="auto"/>
              <w:right w:val="single" w:sz="4" w:space="0" w:color="auto"/>
            </w:tcBorders>
          </w:tcPr>
          <w:p w14:paraId="61F3840B" w14:textId="74F28B05" w:rsidR="005F18C5" w:rsidRPr="003C6711" w:rsidRDefault="005F18C5" w:rsidP="005F18C5">
            <w:pPr>
              <w:rPr>
                <w:rFonts w:ascii="Arial" w:hAnsi="Arial" w:cs="Arial"/>
                <w:b/>
                <w:sz w:val="22"/>
                <w:szCs w:val="22"/>
              </w:rPr>
            </w:pPr>
            <w:r w:rsidRPr="003C6711">
              <w:rPr>
                <w:rFonts w:ascii="Arial" w:hAnsi="Arial" w:cs="Arial"/>
                <w:b/>
                <w:sz w:val="22"/>
                <w:szCs w:val="22"/>
              </w:rPr>
              <w:t>Thi</w:t>
            </w:r>
            <w:r w:rsidR="00C16571">
              <w:rPr>
                <w:rFonts w:ascii="Arial" w:hAnsi="Arial" w:cs="Arial"/>
                <w:b/>
                <w:sz w:val="22"/>
                <w:szCs w:val="22"/>
              </w:rPr>
              <w:t>s report has been discussed at:</w:t>
            </w:r>
            <w:r w:rsidRPr="003C6711">
              <w:rPr>
                <w:rFonts w:ascii="Arial" w:hAnsi="Arial" w:cs="Arial"/>
                <w:b/>
                <w:sz w:val="22"/>
                <w:szCs w:val="22"/>
              </w:rPr>
              <w:t xml:space="preserve"> </w:t>
            </w:r>
          </w:p>
          <w:p w14:paraId="4F9A7E77" w14:textId="5930D022" w:rsidR="00177274" w:rsidRDefault="001541C5" w:rsidP="00177274">
            <w:pPr>
              <w:rPr>
                <w:rFonts w:ascii="Arial" w:hAnsi="Arial" w:cs="Arial"/>
                <w:sz w:val="22"/>
                <w:szCs w:val="22"/>
              </w:rPr>
            </w:pPr>
            <w:r>
              <w:rPr>
                <w:rFonts w:ascii="Arial" w:hAnsi="Arial" w:cs="Arial"/>
                <w:sz w:val="22"/>
                <w:szCs w:val="22"/>
              </w:rPr>
              <w:fldChar w:fldCharType="begin">
                <w:ffData>
                  <w:name w:val="Check11"/>
                  <w:enabled/>
                  <w:calcOnExit w:val="0"/>
                  <w:checkBox>
                    <w:sizeAuto/>
                    <w:default w:val="1"/>
                  </w:checkBox>
                </w:ffData>
              </w:fldChar>
            </w:r>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r w:rsidRPr="003C6711">
              <w:rPr>
                <w:rFonts w:ascii="Arial" w:hAnsi="Arial" w:cs="Arial"/>
                <w:sz w:val="22"/>
                <w:szCs w:val="22"/>
              </w:rPr>
              <w:t xml:space="preserve"> </w:t>
            </w:r>
            <w:r w:rsidR="00E96D01">
              <w:rPr>
                <w:rFonts w:ascii="Arial" w:hAnsi="Arial" w:cs="Arial"/>
                <w:sz w:val="22"/>
                <w:szCs w:val="22"/>
              </w:rPr>
              <w:t>Executive Quality Committee</w:t>
            </w:r>
          </w:p>
          <w:p w14:paraId="6022BB62" w14:textId="77777777" w:rsidR="00E96D01" w:rsidRDefault="001541C5" w:rsidP="00177274">
            <w:pPr>
              <w:rPr>
                <w:rFonts w:ascii="Arial" w:hAnsi="Arial" w:cs="Arial"/>
                <w:sz w:val="22"/>
                <w:szCs w:val="22"/>
              </w:rPr>
            </w:pPr>
            <w:r>
              <w:rPr>
                <w:rFonts w:ascii="Arial" w:hAnsi="Arial" w:cs="Arial"/>
                <w:sz w:val="22"/>
                <w:szCs w:val="22"/>
              </w:rPr>
              <w:fldChar w:fldCharType="begin">
                <w:ffData>
                  <w:name w:val="Check11"/>
                  <w:enabled/>
                  <w:calcOnExit w:val="0"/>
                  <w:checkBox>
                    <w:sizeAuto/>
                    <w:default w:val="1"/>
                  </w:checkBox>
                </w:ffData>
              </w:fldChar>
            </w:r>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r w:rsidRPr="003C6711">
              <w:rPr>
                <w:rFonts w:ascii="Arial" w:hAnsi="Arial" w:cs="Arial"/>
                <w:sz w:val="22"/>
                <w:szCs w:val="22"/>
              </w:rPr>
              <w:t xml:space="preserve"> </w:t>
            </w:r>
            <w:r w:rsidR="00E96D01">
              <w:rPr>
                <w:rFonts w:ascii="Arial" w:hAnsi="Arial" w:cs="Arial"/>
                <w:sz w:val="22"/>
                <w:szCs w:val="22"/>
              </w:rPr>
              <w:t>Board Quality Committee</w:t>
            </w:r>
          </w:p>
          <w:p w14:paraId="561D7961" w14:textId="13E55EAF" w:rsidR="00850C41" w:rsidRPr="00DC5A0E" w:rsidRDefault="00850C41" w:rsidP="00177274">
            <w:pPr>
              <w:rPr>
                <w:rFonts w:ascii="Arial" w:hAnsi="Arial" w:cs="Arial"/>
                <w:sz w:val="22"/>
                <w:szCs w:val="22"/>
              </w:rPr>
            </w:pPr>
            <w:r>
              <w:rPr>
                <w:rFonts w:ascii="Arial" w:hAnsi="Arial" w:cs="Arial"/>
                <w:sz w:val="22"/>
                <w:szCs w:val="22"/>
              </w:rPr>
              <w:fldChar w:fldCharType="begin">
                <w:ffData>
                  <w:name w:val="Check11"/>
                  <w:enabled/>
                  <w:calcOnExit w:val="0"/>
                  <w:checkBox>
                    <w:sizeAuto/>
                    <w:default w:val="1"/>
                  </w:checkBox>
                </w:ffData>
              </w:fldChar>
            </w:r>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r w:rsidRPr="003C6711">
              <w:rPr>
                <w:rFonts w:ascii="Arial" w:hAnsi="Arial" w:cs="Arial"/>
                <w:sz w:val="22"/>
                <w:szCs w:val="22"/>
              </w:rPr>
              <w:t xml:space="preserve"> </w:t>
            </w:r>
            <w:r>
              <w:rPr>
                <w:rFonts w:ascii="Arial" w:hAnsi="Arial" w:cs="Arial"/>
                <w:sz w:val="22"/>
                <w:szCs w:val="22"/>
              </w:rPr>
              <w:t>Audit, Risk &amp; Governance Committee</w:t>
            </w:r>
          </w:p>
        </w:tc>
      </w:tr>
      <w:tr w:rsidR="00631965" w:rsidRPr="003C6711" w14:paraId="28393BB7" w14:textId="77777777" w:rsidTr="00BA4F0C">
        <w:tc>
          <w:tcPr>
            <w:tcW w:w="10490" w:type="dxa"/>
            <w:gridSpan w:val="2"/>
          </w:tcPr>
          <w:p w14:paraId="2C7E19CF" w14:textId="77777777" w:rsidR="00631965" w:rsidRPr="003C6711" w:rsidRDefault="00631965" w:rsidP="005F18C5">
            <w:pPr>
              <w:rPr>
                <w:rFonts w:ascii="Arial" w:hAnsi="Arial" w:cs="Arial"/>
                <w:b/>
                <w:sz w:val="22"/>
                <w:szCs w:val="22"/>
              </w:rPr>
            </w:pPr>
            <w:r w:rsidRPr="003C6711">
              <w:rPr>
                <w:rFonts w:ascii="Arial" w:hAnsi="Arial" w:cs="Arial"/>
                <w:b/>
                <w:sz w:val="22"/>
                <w:szCs w:val="22"/>
              </w:rPr>
              <w:t>Quality impact:</w:t>
            </w:r>
          </w:p>
          <w:p w14:paraId="7CB0DDC8" w14:textId="5B72F32C" w:rsidR="00631965" w:rsidRPr="00DC5A0E" w:rsidRDefault="006E030F" w:rsidP="00A86B11">
            <w:pPr>
              <w:rPr>
                <w:rFonts w:ascii="Arial" w:hAnsi="Arial" w:cs="Arial"/>
              </w:rPr>
            </w:pPr>
            <w:r>
              <w:rPr>
                <w:rFonts w:ascii="Arial" w:hAnsi="Arial" w:cs="Arial"/>
                <w:sz w:val="22"/>
                <w:szCs w:val="22"/>
              </w:rPr>
              <w:t xml:space="preserve">The improvement priorities </w:t>
            </w:r>
            <w:r w:rsidR="00A86B11">
              <w:rPr>
                <w:rFonts w:ascii="Arial" w:hAnsi="Arial" w:cs="Arial"/>
                <w:sz w:val="22"/>
                <w:szCs w:val="22"/>
              </w:rPr>
              <w:t xml:space="preserve">and metrics outlined in the quality account </w:t>
            </w:r>
            <w:r>
              <w:rPr>
                <w:rFonts w:ascii="Arial" w:hAnsi="Arial" w:cs="Arial"/>
                <w:sz w:val="22"/>
                <w:szCs w:val="22"/>
              </w:rPr>
              <w:t>span all five of the CQC domains (s</w:t>
            </w:r>
            <w:r w:rsidRPr="000529E3">
              <w:rPr>
                <w:rFonts w:ascii="Arial" w:hAnsi="Arial" w:cs="Arial"/>
                <w:sz w:val="22"/>
                <w:szCs w:val="22"/>
              </w:rPr>
              <w:t xml:space="preserve">afe, caring, responsive, effective, </w:t>
            </w:r>
            <w:proofErr w:type="gramStart"/>
            <w:r w:rsidRPr="000529E3">
              <w:rPr>
                <w:rFonts w:ascii="Arial" w:hAnsi="Arial" w:cs="Arial"/>
                <w:sz w:val="22"/>
                <w:szCs w:val="22"/>
              </w:rPr>
              <w:t>well</w:t>
            </w:r>
            <w:proofErr w:type="gramEnd"/>
            <w:r w:rsidRPr="000529E3">
              <w:rPr>
                <w:rFonts w:ascii="Arial" w:hAnsi="Arial" w:cs="Arial"/>
                <w:sz w:val="22"/>
                <w:szCs w:val="22"/>
              </w:rPr>
              <w:t>-led)</w:t>
            </w:r>
            <w:r>
              <w:rPr>
                <w:rFonts w:ascii="Arial" w:hAnsi="Arial" w:cs="Arial"/>
                <w:sz w:val="22"/>
                <w:szCs w:val="22"/>
              </w:rPr>
              <w:t xml:space="preserve"> and were developed in consultation with stakeholders both internal and external to the Trust</w:t>
            </w:r>
            <w:r w:rsidR="00A86B11">
              <w:rPr>
                <w:rFonts w:ascii="Arial" w:hAnsi="Arial" w:cs="Arial"/>
                <w:sz w:val="22"/>
                <w:szCs w:val="22"/>
              </w:rPr>
              <w:t>.</w:t>
            </w:r>
          </w:p>
        </w:tc>
      </w:tr>
      <w:tr w:rsidR="00631965" w:rsidRPr="003C6711" w14:paraId="52E81E29" w14:textId="77777777" w:rsidTr="00BA4F0C">
        <w:tc>
          <w:tcPr>
            <w:tcW w:w="10490" w:type="dxa"/>
            <w:gridSpan w:val="2"/>
          </w:tcPr>
          <w:p w14:paraId="36B4B146" w14:textId="77777777" w:rsidR="00631965" w:rsidRPr="003C6711" w:rsidRDefault="00631965" w:rsidP="005F18C5">
            <w:pPr>
              <w:rPr>
                <w:rFonts w:ascii="Arial" w:hAnsi="Arial" w:cs="Arial"/>
                <w:b/>
                <w:sz w:val="22"/>
                <w:szCs w:val="22"/>
              </w:rPr>
            </w:pPr>
            <w:r w:rsidRPr="003C6711">
              <w:rPr>
                <w:rFonts w:ascii="Arial" w:hAnsi="Arial" w:cs="Arial"/>
                <w:b/>
                <w:sz w:val="22"/>
                <w:szCs w:val="22"/>
              </w:rPr>
              <w:t>Financial impact:</w:t>
            </w:r>
          </w:p>
          <w:p w14:paraId="4D01A372" w14:textId="77777777" w:rsidR="00631965" w:rsidRPr="00014613" w:rsidRDefault="00DC5A0E" w:rsidP="005F18C5">
            <w:pPr>
              <w:rPr>
                <w:rFonts w:ascii="Arial" w:hAnsi="Arial" w:cs="Arial"/>
                <w:sz w:val="22"/>
                <w:szCs w:val="22"/>
              </w:rPr>
            </w:pPr>
            <w:r>
              <w:rPr>
                <w:rFonts w:ascii="Arial" w:hAnsi="Arial" w:cs="Arial"/>
                <w:sz w:val="22"/>
                <w:szCs w:val="22"/>
              </w:rPr>
              <w:t xml:space="preserve">This paper has no financial impact. </w:t>
            </w:r>
          </w:p>
        </w:tc>
      </w:tr>
      <w:tr w:rsidR="00631965" w:rsidRPr="003C6711" w14:paraId="01F9ECFA" w14:textId="77777777" w:rsidTr="00BA4F0C">
        <w:tc>
          <w:tcPr>
            <w:tcW w:w="10490" w:type="dxa"/>
            <w:gridSpan w:val="2"/>
          </w:tcPr>
          <w:p w14:paraId="2DD9EB41" w14:textId="77777777" w:rsidR="00631965" w:rsidRPr="003C6711" w:rsidRDefault="00631965" w:rsidP="005F18C5">
            <w:pPr>
              <w:rPr>
                <w:rFonts w:ascii="Arial" w:hAnsi="Arial" w:cs="Arial"/>
                <w:b/>
                <w:sz w:val="22"/>
                <w:szCs w:val="22"/>
              </w:rPr>
            </w:pPr>
            <w:r w:rsidRPr="003C6711">
              <w:rPr>
                <w:rFonts w:ascii="Arial" w:hAnsi="Arial" w:cs="Arial"/>
                <w:b/>
                <w:sz w:val="22"/>
                <w:szCs w:val="22"/>
              </w:rPr>
              <w:t>Risk impact</w:t>
            </w:r>
            <w:r w:rsidR="005F18C5" w:rsidRPr="003C6711">
              <w:rPr>
                <w:rFonts w:ascii="Arial" w:hAnsi="Arial" w:cs="Arial"/>
                <w:b/>
                <w:sz w:val="22"/>
                <w:szCs w:val="22"/>
              </w:rPr>
              <w:t xml:space="preserve"> and Board Assurance Framework (BAF) reference</w:t>
            </w:r>
            <w:r w:rsidRPr="003C6711">
              <w:rPr>
                <w:rFonts w:ascii="Arial" w:hAnsi="Arial" w:cs="Arial"/>
                <w:b/>
                <w:sz w:val="22"/>
                <w:szCs w:val="22"/>
              </w:rPr>
              <w:t>:</w:t>
            </w:r>
          </w:p>
          <w:p w14:paraId="1C22E6B8" w14:textId="77777777" w:rsidR="00631965" w:rsidRPr="003C6711" w:rsidRDefault="00902F86" w:rsidP="005F18C5">
            <w:pPr>
              <w:rPr>
                <w:rFonts w:ascii="Arial" w:hAnsi="Arial" w:cs="Arial"/>
                <w:b/>
                <w:sz w:val="22"/>
                <w:szCs w:val="22"/>
              </w:rPr>
            </w:pPr>
            <w:r w:rsidRPr="00387C52">
              <w:rPr>
                <w:rFonts w:ascii="Arial" w:hAnsi="Arial" w:cs="Arial"/>
                <w:sz w:val="22"/>
                <w:szCs w:val="22"/>
              </w:rPr>
              <w:t xml:space="preserve">There is an associated divisional risk on </w:t>
            </w:r>
            <w:proofErr w:type="spellStart"/>
            <w:r w:rsidRPr="00387C52">
              <w:rPr>
                <w:rFonts w:ascii="Arial" w:hAnsi="Arial" w:cs="Arial"/>
                <w:sz w:val="22"/>
                <w:szCs w:val="22"/>
              </w:rPr>
              <w:t>Datix</w:t>
            </w:r>
            <w:proofErr w:type="spellEnd"/>
            <w:r w:rsidRPr="00387C52">
              <w:rPr>
                <w:rFonts w:ascii="Arial" w:hAnsi="Arial" w:cs="Arial"/>
                <w:sz w:val="22"/>
                <w:szCs w:val="22"/>
              </w:rPr>
              <w:t xml:space="preserve"> (ID 1640 – new quality strategy development and implementation)</w:t>
            </w:r>
          </w:p>
        </w:tc>
      </w:tr>
      <w:tr w:rsidR="005F18C5" w:rsidRPr="003C6711" w14:paraId="22979AFE" w14:textId="77777777" w:rsidTr="00BA4F0C">
        <w:tc>
          <w:tcPr>
            <w:tcW w:w="10490" w:type="dxa"/>
            <w:gridSpan w:val="2"/>
          </w:tcPr>
          <w:p w14:paraId="6C04D4E9" w14:textId="77777777" w:rsidR="005F18C5" w:rsidRPr="003C6711" w:rsidRDefault="005F18C5" w:rsidP="005F18C5">
            <w:pPr>
              <w:rPr>
                <w:rFonts w:ascii="Arial" w:hAnsi="Arial" w:cs="Arial"/>
                <w:sz w:val="22"/>
                <w:szCs w:val="22"/>
              </w:rPr>
            </w:pPr>
            <w:r w:rsidRPr="003C6711">
              <w:rPr>
                <w:rFonts w:ascii="Arial" w:hAnsi="Arial" w:cs="Arial"/>
                <w:b/>
                <w:sz w:val="22"/>
                <w:szCs w:val="22"/>
              </w:rPr>
              <w:t>Workforce impact (including training and education implications):</w:t>
            </w:r>
            <w:r w:rsidRPr="003C6711">
              <w:rPr>
                <w:rFonts w:ascii="Arial" w:hAnsi="Arial" w:cs="Arial"/>
                <w:sz w:val="22"/>
                <w:szCs w:val="22"/>
              </w:rPr>
              <w:t xml:space="preserve"> </w:t>
            </w:r>
          </w:p>
          <w:p w14:paraId="1068E14A" w14:textId="77777777" w:rsidR="005F18C5" w:rsidRPr="00902F86" w:rsidRDefault="00902F86" w:rsidP="005F18C5">
            <w:pPr>
              <w:rPr>
                <w:rFonts w:ascii="Arial" w:hAnsi="Arial" w:cs="Arial"/>
                <w:sz w:val="22"/>
                <w:szCs w:val="22"/>
              </w:rPr>
            </w:pPr>
            <w:r w:rsidRPr="00902F86">
              <w:rPr>
                <w:rFonts w:ascii="Arial" w:hAnsi="Arial" w:cs="Arial"/>
                <w:sz w:val="22"/>
                <w:szCs w:val="22"/>
              </w:rPr>
              <w:t>N/A</w:t>
            </w:r>
          </w:p>
        </w:tc>
      </w:tr>
      <w:tr w:rsidR="005F18C5" w:rsidRPr="003C6711" w14:paraId="25D0D586" w14:textId="77777777" w:rsidTr="00BA4F0C">
        <w:tc>
          <w:tcPr>
            <w:tcW w:w="10490" w:type="dxa"/>
            <w:gridSpan w:val="2"/>
          </w:tcPr>
          <w:p w14:paraId="2D21C436" w14:textId="70D9F6BA" w:rsidR="005F18C5" w:rsidRPr="003C6711" w:rsidRDefault="005F18C5" w:rsidP="005F18C5">
            <w:pPr>
              <w:rPr>
                <w:rFonts w:ascii="Arial" w:hAnsi="Arial" w:cs="Arial"/>
                <w:b/>
                <w:sz w:val="22"/>
                <w:szCs w:val="22"/>
              </w:rPr>
            </w:pPr>
            <w:r w:rsidRPr="003C6711">
              <w:rPr>
                <w:rFonts w:ascii="Arial" w:hAnsi="Arial" w:cs="Arial"/>
                <w:b/>
                <w:sz w:val="22"/>
                <w:szCs w:val="22"/>
              </w:rPr>
              <w:t>Has an Equality Impact Assessment been carried out</w:t>
            </w:r>
            <w:r w:rsidR="005B1AAB">
              <w:rPr>
                <w:rFonts w:ascii="Arial" w:hAnsi="Arial" w:cs="Arial"/>
                <w:b/>
                <w:sz w:val="22"/>
                <w:szCs w:val="22"/>
              </w:rPr>
              <w:t xml:space="preserve"> or h</w:t>
            </w:r>
            <w:r w:rsidR="00EF289E">
              <w:rPr>
                <w:rFonts w:ascii="Arial" w:hAnsi="Arial" w:cs="Arial"/>
                <w:b/>
                <w:sz w:val="22"/>
                <w:szCs w:val="22"/>
              </w:rPr>
              <w:t xml:space="preserve">ave </w:t>
            </w:r>
            <w:r w:rsidR="005B1AAB">
              <w:rPr>
                <w:rFonts w:ascii="Arial" w:hAnsi="Arial" w:cs="Arial"/>
                <w:b/>
                <w:sz w:val="22"/>
                <w:szCs w:val="22"/>
              </w:rPr>
              <w:t>protected groups been considered</w:t>
            </w:r>
            <w:r w:rsidR="00EF289E">
              <w:rPr>
                <w:rFonts w:ascii="Arial" w:hAnsi="Arial" w:cs="Arial"/>
                <w:b/>
                <w:sz w:val="22"/>
                <w:szCs w:val="22"/>
              </w:rPr>
              <w:t>?</w:t>
            </w:r>
            <w:r w:rsidR="005B1AAB">
              <w:rPr>
                <w:rFonts w:ascii="Arial" w:hAnsi="Arial" w:cs="Arial"/>
                <w:b/>
                <w:sz w:val="22"/>
                <w:szCs w:val="22"/>
              </w:rPr>
              <w:t xml:space="preserve"> </w:t>
            </w:r>
          </w:p>
          <w:p w14:paraId="03711F77" w14:textId="74DB23FF" w:rsidR="005F18C5" w:rsidRPr="003A4E32" w:rsidRDefault="00014613" w:rsidP="003A4E32">
            <w:pPr>
              <w:rPr>
                <w:rFonts w:ascii="Arial" w:hAnsi="Arial" w:cs="Arial"/>
                <w:sz w:val="22"/>
                <w:szCs w:val="22"/>
              </w:rPr>
            </w:pPr>
            <w:r>
              <w:rPr>
                <w:rFonts w:ascii="Arial" w:hAnsi="Arial" w:cs="Arial"/>
                <w:sz w:val="22"/>
                <w:szCs w:val="22"/>
              </w:rPr>
              <w:fldChar w:fldCharType="begin">
                <w:ffData>
                  <w:name w:val="Check13"/>
                  <w:enabled/>
                  <w:calcOnExit w:val="0"/>
                  <w:checkBox>
                    <w:sizeAuto/>
                    <w:default w:val="1"/>
                  </w:checkBox>
                </w:ffData>
              </w:fldChar>
            </w:r>
            <w:bookmarkStart w:id="0" w:name="Check13"/>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bookmarkEnd w:id="0"/>
            <w:r w:rsidR="005F18C5" w:rsidRPr="003C6711">
              <w:rPr>
                <w:rFonts w:ascii="Arial" w:hAnsi="Arial" w:cs="Arial"/>
                <w:sz w:val="22"/>
                <w:szCs w:val="22"/>
              </w:rPr>
              <w:t xml:space="preserve"> Not applicable</w:t>
            </w:r>
          </w:p>
        </w:tc>
      </w:tr>
      <w:tr w:rsidR="001A512B" w:rsidRPr="003C6711" w14:paraId="2F2EA5CF" w14:textId="77777777" w:rsidTr="00BA4F0C">
        <w:tc>
          <w:tcPr>
            <w:tcW w:w="10490" w:type="dxa"/>
            <w:gridSpan w:val="2"/>
          </w:tcPr>
          <w:p w14:paraId="579C3F7C" w14:textId="77777777" w:rsidR="001A512B" w:rsidRPr="003C6711" w:rsidRDefault="001A512B" w:rsidP="007857DD">
            <w:pPr>
              <w:autoSpaceDE w:val="0"/>
              <w:autoSpaceDN w:val="0"/>
              <w:adjustRightInd w:val="0"/>
              <w:rPr>
                <w:rFonts w:ascii="Arial" w:hAnsi="Arial" w:cs="Arial"/>
                <w:b/>
                <w:bCs/>
                <w:color w:val="000000"/>
                <w:sz w:val="22"/>
                <w:szCs w:val="22"/>
              </w:rPr>
            </w:pPr>
            <w:r w:rsidRPr="003C6711">
              <w:rPr>
                <w:rFonts w:ascii="Arial" w:hAnsi="Arial" w:cs="Arial"/>
                <w:b/>
                <w:bCs/>
                <w:color w:val="000000"/>
                <w:sz w:val="22"/>
                <w:szCs w:val="22"/>
              </w:rPr>
              <w:t>What impact will this have on the wider health economy, patients and the public?</w:t>
            </w:r>
          </w:p>
          <w:p w14:paraId="44A2A8B3" w14:textId="026FD5BA" w:rsidR="00F8534D" w:rsidRPr="003C6711" w:rsidRDefault="00014613" w:rsidP="00E96D01">
            <w:pPr>
              <w:rPr>
                <w:rFonts w:ascii="Arial" w:hAnsi="Arial" w:cs="Arial"/>
                <w:b/>
                <w:sz w:val="22"/>
                <w:szCs w:val="22"/>
              </w:rPr>
            </w:pPr>
            <w:r>
              <w:rPr>
                <w:rFonts w:ascii="Arial" w:hAnsi="Arial" w:cs="Arial"/>
                <w:bCs/>
                <w:color w:val="000000"/>
                <w:sz w:val="22"/>
                <w:szCs w:val="22"/>
              </w:rPr>
              <w:t>The priorities outlined in our quality account will directly</w:t>
            </w:r>
            <w:r w:rsidR="00E96D01">
              <w:rPr>
                <w:rFonts w:ascii="Arial" w:hAnsi="Arial" w:cs="Arial"/>
                <w:bCs/>
                <w:color w:val="000000"/>
                <w:sz w:val="22"/>
                <w:szCs w:val="22"/>
              </w:rPr>
              <w:t xml:space="preserve"> impact on the quality of care </w:t>
            </w:r>
            <w:r>
              <w:rPr>
                <w:rFonts w:ascii="Arial" w:hAnsi="Arial" w:cs="Arial"/>
                <w:bCs/>
                <w:color w:val="000000"/>
                <w:sz w:val="22"/>
                <w:szCs w:val="22"/>
              </w:rPr>
              <w:t>we provide</w:t>
            </w:r>
            <w:r w:rsidR="00E96D01">
              <w:rPr>
                <w:rFonts w:ascii="Arial" w:hAnsi="Arial" w:cs="Arial"/>
                <w:bCs/>
                <w:color w:val="000000"/>
                <w:sz w:val="22"/>
                <w:szCs w:val="22"/>
              </w:rPr>
              <w:t>.</w:t>
            </w:r>
          </w:p>
        </w:tc>
      </w:tr>
      <w:tr w:rsidR="005F18C5" w:rsidRPr="003C6711" w14:paraId="23733B2F" w14:textId="77777777" w:rsidTr="00BA4F0C">
        <w:tc>
          <w:tcPr>
            <w:tcW w:w="10490" w:type="dxa"/>
            <w:gridSpan w:val="2"/>
          </w:tcPr>
          <w:p w14:paraId="4BF757AA" w14:textId="77777777" w:rsidR="00E96D01" w:rsidRDefault="00D051AA" w:rsidP="00E96D01">
            <w:pPr>
              <w:rPr>
                <w:rFonts w:ascii="Arial" w:hAnsi="Arial" w:cs="Arial"/>
                <w:sz w:val="22"/>
                <w:szCs w:val="22"/>
              </w:rPr>
            </w:pPr>
            <w:r>
              <w:rPr>
                <w:rFonts w:ascii="Arial" w:hAnsi="Arial" w:cs="Arial"/>
                <w:b/>
                <w:sz w:val="22"/>
                <w:szCs w:val="22"/>
              </w:rPr>
              <w:t xml:space="preserve">The report content </w:t>
            </w:r>
            <w:r w:rsidR="005F18C5" w:rsidRPr="003C6711">
              <w:rPr>
                <w:rFonts w:ascii="Arial" w:hAnsi="Arial" w:cs="Arial"/>
                <w:b/>
                <w:sz w:val="22"/>
                <w:szCs w:val="22"/>
              </w:rPr>
              <w:t>respects the rights, values and commitments within the NHS Constitution</w:t>
            </w:r>
            <w:r w:rsidR="00434765">
              <w:rPr>
                <w:rFonts w:ascii="Arial" w:hAnsi="Arial" w:cs="Arial"/>
                <w:b/>
                <w:sz w:val="22"/>
                <w:szCs w:val="22"/>
              </w:rPr>
              <w:t xml:space="preserve"> </w:t>
            </w:r>
          </w:p>
          <w:p w14:paraId="0F615129" w14:textId="6AEAE2AE" w:rsidR="005F18C5" w:rsidRPr="00902F86" w:rsidRDefault="00DC5A0E" w:rsidP="00E96D01">
            <w:pPr>
              <w:rPr>
                <w:rFonts w:ascii="Arial" w:hAnsi="Arial" w:cs="Arial"/>
                <w:sz w:val="22"/>
                <w:szCs w:val="22"/>
              </w:rPr>
            </w:pPr>
            <w:r>
              <w:rPr>
                <w:rFonts w:ascii="Arial" w:hAnsi="Arial" w:cs="Arial"/>
                <w:sz w:val="22"/>
                <w:szCs w:val="22"/>
              </w:rPr>
              <w:fldChar w:fldCharType="begin">
                <w:ffData>
                  <w:name w:val="Check11"/>
                  <w:enabled/>
                  <w:calcOnExit w:val="0"/>
                  <w:checkBox>
                    <w:sizeAuto/>
                    <w:default w:val="1"/>
                  </w:checkBox>
                </w:ffData>
              </w:fldChar>
            </w:r>
            <w:bookmarkStart w:id="1" w:name="Check11"/>
            <w:r>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Pr>
                <w:rFonts w:ascii="Arial" w:hAnsi="Arial" w:cs="Arial"/>
                <w:sz w:val="22"/>
                <w:szCs w:val="22"/>
              </w:rPr>
              <w:fldChar w:fldCharType="end"/>
            </w:r>
            <w:bookmarkEnd w:id="1"/>
            <w:r w:rsidR="005F18C5" w:rsidRPr="003C6711">
              <w:rPr>
                <w:rFonts w:ascii="Arial" w:hAnsi="Arial" w:cs="Arial"/>
                <w:sz w:val="22"/>
                <w:szCs w:val="22"/>
              </w:rPr>
              <w:t xml:space="preserve"> Yes  </w:t>
            </w:r>
            <w:r w:rsidR="005F18C5" w:rsidRPr="003C6711">
              <w:rPr>
                <w:rFonts w:ascii="Arial" w:hAnsi="Arial" w:cs="Arial"/>
                <w:sz w:val="22"/>
                <w:szCs w:val="22"/>
              </w:rPr>
              <w:fldChar w:fldCharType="begin">
                <w:ffData>
                  <w:name w:val="Check12"/>
                  <w:enabled/>
                  <w:calcOnExit w:val="0"/>
                  <w:checkBox>
                    <w:sizeAuto/>
                    <w:default w:val="0"/>
                  </w:checkBox>
                </w:ffData>
              </w:fldChar>
            </w:r>
            <w:bookmarkStart w:id="2" w:name="Check12"/>
            <w:r w:rsidR="005F18C5" w:rsidRPr="003C6711">
              <w:rPr>
                <w:rFonts w:ascii="Arial" w:hAnsi="Arial" w:cs="Arial"/>
                <w:sz w:val="22"/>
                <w:szCs w:val="22"/>
              </w:rPr>
              <w:instrText xml:space="preserve"> FORMCHECKBOX </w:instrText>
            </w:r>
            <w:r w:rsidR="005C31A9">
              <w:rPr>
                <w:rFonts w:ascii="Arial" w:hAnsi="Arial" w:cs="Arial"/>
                <w:sz w:val="22"/>
                <w:szCs w:val="22"/>
              </w:rPr>
            </w:r>
            <w:r w:rsidR="005C31A9">
              <w:rPr>
                <w:rFonts w:ascii="Arial" w:hAnsi="Arial" w:cs="Arial"/>
                <w:sz w:val="22"/>
                <w:szCs w:val="22"/>
              </w:rPr>
              <w:fldChar w:fldCharType="separate"/>
            </w:r>
            <w:r w:rsidR="005F18C5" w:rsidRPr="003C6711">
              <w:rPr>
                <w:rFonts w:ascii="Arial" w:hAnsi="Arial" w:cs="Arial"/>
                <w:sz w:val="22"/>
                <w:szCs w:val="22"/>
              </w:rPr>
              <w:fldChar w:fldCharType="end"/>
            </w:r>
            <w:bookmarkEnd w:id="2"/>
            <w:r w:rsidR="005F18C5" w:rsidRPr="003C6711">
              <w:rPr>
                <w:rFonts w:ascii="Arial" w:hAnsi="Arial" w:cs="Arial"/>
                <w:sz w:val="22"/>
                <w:szCs w:val="22"/>
              </w:rPr>
              <w:t xml:space="preserve"> No</w:t>
            </w:r>
          </w:p>
        </w:tc>
      </w:tr>
      <w:tr w:rsidR="00631965" w:rsidRPr="003C6711" w14:paraId="25C9C964" w14:textId="77777777" w:rsidTr="00BA4F0C">
        <w:tc>
          <w:tcPr>
            <w:tcW w:w="10490" w:type="dxa"/>
            <w:gridSpan w:val="2"/>
          </w:tcPr>
          <w:p w14:paraId="16B230C6" w14:textId="77777777" w:rsidR="00631965" w:rsidRPr="003C6711" w:rsidRDefault="00631965" w:rsidP="005F18C5">
            <w:pPr>
              <w:rPr>
                <w:rFonts w:ascii="Arial" w:hAnsi="Arial" w:cs="Arial"/>
                <w:b/>
                <w:sz w:val="22"/>
                <w:szCs w:val="22"/>
              </w:rPr>
            </w:pPr>
            <w:r w:rsidRPr="003C6711">
              <w:rPr>
                <w:rFonts w:ascii="Arial" w:hAnsi="Arial" w:cs="Arial"/>
                <w:b/>
                <w:sz w:val="22"/>
                <w:szCs w:val="22"/>
              </w:rPr>
              <w:t>Trust strategic objectives supported by this paper:</w:t>
            </w:r>
          </w:p>
          <w:p w14:paraId="2360FBBB" w14:textId="77777777" w:rsidR="00962EDC" w:rsidRPr="00647914" w:rsidRDefault="00962EDC" w:rsidP="00962EDC">
            <w:pPr>
              <w:pStyle w:val="ListParagraph"/>
              <w:numPr>
                <w:ilvl w:val="0"/>
                <w:numId w:val="1"/>
              </w:numPr>
              <w:spacing w:after="0" w:line="240" w:lineRule="auto"/>
              <w:rPr>
                <w:rFonts w:ascii="Arial" w:hAnsi="Arial" w:cs="Arial"/>
                <w:bCs/>
              </w:rPr>
            </w:pPr>
            <w:r w:rsidRPr="00647914">
              <w:rPr>
                <w:rFonts w:ascii="Arial" w:hAnsi="Arial" w:cs="Arial"/>
                <w:bCs/>
              </w:rPr>
              <w:t>To develop a sustainable portfolio of outstanding services</w:t>
            </w:r>
          </w:p>
          <w:p w14:paraId="254366C1" w14:textId="0B6C07CC" w:rsidR="00631965" w:rsidRPr="00962EDC" w:rsidRDefault="00962EDC" w:rsidP="00962EDC">
            <w:pPr>
              <w:pStyle w:val="ListParagraph"/>
              <w:numPr>
                <w:ilvl w:val="0"/>
                <w:numId w:val="1"/>
              </w:numPr>
              <w:spacing w:after="0" w:line="240" w:lineRule="auto"/>
              <w:rPr>
                <w:rFonts w:ascii="Arial" w:hAnsi="Arial" w:cs="Arial"/>
              </w:rPr>
            </w:pPr>
            <w:r w:rsidRPr="00647914">
              <w:rPr>
                <w:rFonts w:ascii="Arial" w:hAnsi="Arial" w:cs="Arial"/>
                <w:bCs/>
              </w:rPr>
              <w:t>To build learning, improvement and innovation into everything we do</w:t>
            </w:r>
          </w:p>
        </w:tc>
      </w:tr>
    </w:tbl>
    <w:p w14:paraId="05084F0C" w14:textId="77777777" w:rsidR="006E030F" w:rsidRDefault="006E030F" w:rsidP="00014613">
      <w:pPr>
        <w:rPr>
          <w:rFonts w:ascii="Arial" w:hAnsi="Arial" w:cs="Arial"/>
          <w:sz w:val="16"/>
          <w:szCs w:val="16"/>
        </w:rPr>
      </w:pPr>
    </w:p>
    <w:p w14:paraId="2ACD29B2" w14:textId="7F7C544E" w:rsidR="00192279" w:rsidRDefault="00192279" w:rsidP="00014613">
      <w:pPr>
        <w:rPr>
          <w:rFonts w:ascii="Arial" w:hAnsi="Arial" w:cs="Arial"/>
          <w:sz w:val="16"/>
          <w:szCs w:val="16"/>
        </w:rPr>
      </w:pPr>
    </w:p>
    <w:p w14:paraId="5FBB3F40" w14:textId="662CBD05" w:rsidR="00850C41" w:rsidRDefault="00850C41" w:rsidP="00014613">
      <w:pPr>
        <w:rPr>
          <w:rFonts w:ascii="Arial" w:hAnsi="Arial" w:cs="Arial"/>
          <w:sz w:val="16"/>
          <w:szCs w:val="16"/>
        </w:rPr>
      </w:pPr>
    </w:p>
    <w:p w14:paraId="5D5C4846" w14:textId="25F3B7C4" w:rsidR="00850C41" w:rsidRDefault="00850C41" w:rsidP="00014613">
      <w:pPr>
        <w:rPr>
          <w:rFonts w:ascii="Arial" w:hAnsi="Arial" w:cs="Arial"/>
          <w:sz w:val="16"/>
          <w:szCs w:val="16"/>
        </w:rPr>
      </w:pPr>
    </w:p>
    <w:p w14:paraId="11DD8F8E" w14:textId="4016FE1A" w:rsidR="00850C41" w:rsidRDefault="00850C41" w:rsidP="00014613">
      <w:pPr>
        <w:rPr>
          <w:rFonts w:ascii="Arial" w:hAnsi="Arial" w:cs="Arial"/>
          <w:sz w:val="16"/>
          <w:szCs w:val="16"/>
        </w:rPr>
      </w:pPr>
    </w:p>
    <w:p w14:paraId="4D1EF972" w14:textId="7BEA4A6E" w:rsidR="00850C41" w:rsidRDefault="00850C41" w:rsidP="00014613">
      <w:pPr>
        <w:rPr>
          <w:rFonts w:ascii="Arial" w:hAnsi="Arial" w:cs="Arial"/>
          <w:sz w:val="16"/>
          <w:szCs w:val="16"/>
        </w:rPr>
      </w:pPr>
    </w:p>
    <w:p w14:paraId="66364EE0" w14:textId="36BC4D6B" w:rsidR="00850C41" w:rsidRDefault="00850C41" w:rsidP="00014613">
      <w:pPr>
        <w:rPr>
          <w:rFonts w:ascii="Arial" w:hAnsi="Arial" w:cs="Arial"/>
          <w:sz w:val="16"/>
          <w:szCs w:val="16"/>
        </w:rPr>
      </w:pPr>
    </w:p>
    <w:p w14:paraId="70F2D171" w14:textId="4ED0AC0C" w:rsidR="00850C41" w:rsidRDefault="00850C41" w:rsidP="00014613">
      <w:pPr>
        <w:rPr>
          <w:rFonts w:ascii="Arial" w:hAnsi="Arial" w:cs="Arial"/>
          <w:sz w:val="16"/>
          <w:szCs w:val="16"/>
        </w:rPr>
      </w:pPr>
    </w:p>
    <w:p w14:paraId="36652B57" w14:textId="77777777" w:rsidR="00850C41" w:rsidRDefault="00850C41" w:rsidP="00014613">
      <w:pPr>
        <w:rPr>
          <w:rFonts w:ascii="Arial" w:hAnsi="Arial" w:cs="Arial"/>
          <w:sz w:val="16"/>
          <w:szCs w:val="16"/>
        </w:rPr>
      </w:pPr>
    </w:p>
    <w:p w14:paraId="20DB1BD1" w14:textId="77777777" w:rsidR="003E7743" w:rsidRDefault="003E7743" w:rsidP="00014613">
      <w:pPr>
        <w:rPr>
          <w:rFonts w:ascii="Arial" w:hAnsi="Arial" w:cs="Arial"/>
          <w:sz w:val="16"/>
          <w:szCs w:val="16"/>
        </w:rPr>
      </w:pPr>
    </w:p>
    <w:p w14:paraId="1BC55D32" w14:textId="304CC061" w:rsidR="00DC5A0E" w:rsidRPr="008249CA" w:rsidRDefault="002827C0" w:rsidP="00DC5A0E">
      <w:pPr>
        <w:ind w:left="-425" w:right="-471"/>
        <w:jc w:val="center"/>
        <w:rPr>
          <w:rFonts w:ascii="Arial" w:hAnsi="Arial" w:cs="Arial"/>
          <w:b/>
        </w:rPr>
      </w:pPr>
      <w:r>
        <w:rPr>
          <w:rFonts w:ascii="Arial" w:hAnsi="Arial" w:cs="Arial"/>
          <w:b/>
        </w:rPr>
        <w:lastRenderedPageBreak/>
        <w:t xml:space="preserve">Final </w:t>
      </w:r>
      <w:r w:rsidR="00B37BAC">
        <w:rPr>
          <w:rFonts w:ascii="Arial" w:hAnsi="Arial" w:cs="Arial"/>
          <w:b/>
        </w:rPr>
        <w:t xml:space="preserve">Draft </w:t>
      </w:r>
      <w:r w:rsidR="00DC5A0E" w:rsidRPr="008249CA">
        <w:rPr>
          <w:rFonts w:ascii="Arial" w:hAnsi="Arial" w:cs="Arial"/>
          <w:b/>
        </w:rPr>
        <w:t>Quality Account 2018/19</w:t>
      </w:r>
      <w:r w:rsidR="001D648A">
        <w:rPr>
          <w:rFonts w:ascii="Arial" w:hAnsi="Arial" w:cs="Arial"/>
          <w:b/>
        </w:rPr>
        <w:t xml:space="preserve"> </w:t>
      </w:r>
    </w:p>
    <w:p w14:paraId="7D94FE3C" w14:textId="77777777" w:rsidR="00DC5A0E" w:rsidRPr="008249CA" w:rsidRDefault="00DC5A0E" w:rsidP="00DC5A0E">
      <w:pPr>
        <w:ind w:left="-425" w:right="-471"/>
        <w:rPr>
          <w:rFonts w:ascii="Arial" w:hAnsi="Arial" w:cs="Arial"/>
        </w:rPr>
      </w:pPr>
    </w:p>
    <w:p w14:paraId="60B68853" w14:textId="16B1B510" w:rsidR="00F10E33" w:rsidRPr="008C3833" w:rsidRDefault="00DC5A0E" w:rsidP="003E7743">
      <w:pPr>
        <w:pStyle w:val="ListParagraph"/>
        <w:numPr>
          <w:ilvl w:val="0"/>
          <w:numId w:val="2"/>
        </w:numPr>
        <w:spacing w:after="0" w:line="240" w:lineRule="auto"/>
        <w:ind w:left="142" w:right="-471" w:hanging="568"/>
        <w:rPr>
          <w:rFonts w:ascii="Arial" w:hAnsi="Arial" w:cs="Arial"/>
          <w:b/>
          <w:sz w:val="24"/>
          <w:szCs w:val="24"/>
        </w:rPr>
      </w:pPr>
      <w:r w:rsidRPr="008249CA">
        <w:rPr>
          <w:rFonts w:ascii="Arial" w:hAnsi="Arial" w:cs="Arial"/>
          <w:b/>
          <w:sz w:val="24"/>
          <w:szCs w:val="24"/>
        </w:rPr>
        <w:t xml:space="preserve">Executive Summary </w:t>
      </w:r>
    </w:p>
    <w:p w14:paraId="3787813C" w14:textId="2FEA2A07" w:rsidR="00850C41" w:rsidRPr="00850C41" w:rsidRDefault="00850C41" w:rsidP="00850C41">
      <w:pPr>
        <w:pStyle w:val="ListParagraph"/>
        <w:numPr>
          <w:ilvl w:val="1"/>
          <w:numId w:val="2"/>
        </w:numPr>
        <w:spacing w:after="0" w:line="240" w:lineRule="auto"/>
        <w:ind w:left="142" w:right="-471" w:hanging="574"/>
        <w:rPr>
          <w:rFonts w:ascii="Arial" w:hAnsi="Arial" w:cs="Arial"/>
          <w:sz w:val="24"/>
          <w:szCs w:val="24"/>
        </w:rPr>
      </w:pPr>
      <w:r w:rsidRPr="00850C41">
        <w:rPr>
          <w:rFonts w:ascii="Arial" w:hAnsi="Arial" w:cs="Arial"/>
          <w:sz w:val="24"/>
          <w:szCs w:val="24"/>
        </w:rPr>
        <w:t>Quality accounts are annual reports to the public from NHS healthcare providers about the quality of services they deliver. Their primary purpose is to encourage boards and leaders of healthcare organisations to demonstrate their commitment to continuous, evidence-based quality improvement, to assess quality across all of the healthcare services they offer and to explain their progress to the public.</w:t>
      </w:r>
    </w:p>
    <w:p w14:paraId="4C1FE87A" w14:textId="77777777" w:rsidR="00850C41" w:rsidRDefault="00850C41" w:rsidP="00850C41">
      <w:pPr>
        <w:pStyle w:val="ListParagraph"/>
        <w:spacing w:after="0" w:line="240" w:lineRule="auto"/>
        <w:ind w:left="142" w:right="-471"/>
        <w:rPr>
          <w:rFonts w:ascii="Arial" w:hAnsi="Arial" w:cs="Arial"/>
          <w:sz w:val="24"/>
          <w:szCs w:val="24"/>
        </w:rPr>
      </w:pPr>
    </w:p>
    <w:p w14:paraId="23416B77" w14:textId="477184F7" w:rsidR="00850C41" w:rsidRPr="00850C41" w:rsidRDefault="00850C41" w:rsidP="00850C41">
      <w:pPr>
        <w:pStyle w:val="ListParagraph"/>
        <w:numPr>
          <w:ilvl w:val="1"/>
          <w:numId w:val="2"/>
        </w:numPr>
        <w:spacing w:after="0" w:line="240" w:lineRule="auto"/>
        <w:ind w:left="142" w:right="-471" w:hanging="574"/>
        <w:rPr>
          <w:rFonts w:ascii="Arial" w:hAnsi="Arial" w:cs="Arial"/>
          <w:sz w:val="24"/>
          <w:szCs w:val="24"/>
        </w:rPr>
      </w:pPr>
      <w:r w:rsidRPr="00850C41">
        <w:rPr>
          <w:rFonts w:ascii="Arial" w:hAnsi="Arial" w:cs="Arial"/>
          <w:sz w:val="24"/>
          <w:szCs w:val="24"/>
        </w:rPr>
        <w:t>Quality accounts are required by the Health Act 2009, and in the terms set out in the National Health Service (Quality Accounts) Regulations 2010 as amended (‘the quality accounts regulations’).</w:t>
      </w:r>
    </w:p>
    <w:p w14:paraId="52CFEFE2" w14:textId="019A1B88" w:rsidR="00850C41" w:rsidRDefault="00850C41" w:rsidP="00850C41">
      <w:pPr>
        <w:pStyle w:val="ListParagraph"/>
        <w:spacing w:after="0" w:line="240" w:lineRule="auto"/>
        <w:ind w:left="142" w:right="-471"/>
        <w:rPr>
          <w:rFonts w:ascii="Arial" w:hAnsi="Arial" w:cs="Arial"/>
          <w:sz w:val="24"/>
          <w:szCs w:val="24"/>
        </w:rPr>
      </w:pPr>
    </w:p>
    <w:p w14:paraId="0E81070B" w14:textId="77777777" w:rsidR="00850C41" w:rsidRPr="00850C41" w:rsidRDefault="00850C41" w:rsidP="00850C41">
      <w:pPr>
        <w:pStyle w:val="ListParagraph"/>
        <w:numPr>
          <w:ilvl w:val="1"/>
          <w:numId w:val="2"/>
        </w:numPr>
        <w:spacing w:after="0" w:line="240" w:lineRule="auto"/>
        <w:ind w:left="142" w:right="-471" w:hanging="574"/>
        <w:rPr>
          <w:rFonts w:ascii="Arial" w:hAnsi="Arial" w:cs="Arial"/>
          <w:sz w:val="24"/>
          <w:szCs w:val="24"/>
        </w:rPr>
      </w:pPr>
      <w:r w:rsidRPr="00850C41">
        <w:rPr>
          <w:rFonts w:ascii="Arial" w:hAnsi="Arial" w:cs="Arial"/>
          <w:sz w:val="24"/>
          <w:szCs w:val="24"/>
        </w:rPr>
        <w:t xml:space="preserve">As part of the regulations, NHS providers are required to consult with their clinical commissioning groups, local </w:t>
      </w:r>
      <w:proofErr w:type="spellStart"/>
      <w:r w:rsidRPr="00850C41">
        <w:rPr>
          <w:rFonts w:ascii="Arial" w:hAnsi="Arial" w:cs="Arial"/>
          <w:sz w:val="24"/>
          <w:szCs w:val="24"/>
        </w:rPr>
        <w:t>healthwatch</w:t>
      </w:r>
      <w:proofErr w:type="spellEnd"/>
      <w:r w:rsidRPr="00850C41">
        <w:rPr>
          <w:rFonts w:ascii="Arial" w:hAnsi="Arial" w:cs="Arial"/>
          <w:sz w:val="24"/>
          <w:szCs w:val="24"/>
        </w:rPr>
        <w:t xml:space="preserve"> organisations and overview and scrutiny committees. Statements provided by these organisations in response to the quality accounts are published in the final quality account. </w:t>
      </w:r>
    </w:p>
    <w:p w14:paraId="101EE875" w14:textId="1287336F" w:rsidR="00850C41" w:rsidRDefault="00850C41" w:rsidP="00850C41">
      <w:pPr>
        <w:pStyle w:val="ListParagraph"/>
        <w:spacing w:after="0" w:line="240" w:lineRule="auto"/>
        <w:ind w:left="142" w:right="-471"/>
        <w:rPr>
          <w:rFonts w:ascii="Arial" w:hAnsi="Arial" w:cs="Arial"/>
          <w:sz w:val="24"/>
          <w:szCs w:val="24"/>
        </w:rPr>
      </w:pPr>
    </w:p>
    <w:p w14:paraId="50B8872F" w14:textId="77777777" w:rsidR="00850C41" w:rsidRPr="00850C41" w:rsidRDefault="00850C41" w:rsidP="00850C41">
      <w:pPr>
        <w:pStyle w:val="ListParagraph"/>
        <w:numPr>
          <w:ilvl w:val="1"/>
          <w:numId w:val="2"/>
        </w:numPr>
        <w:spacing w:after="0" w:line="240" w:lineRule="auto"/>
        <w:ind w:left="142" w:right="-471" w:hanging="574"/>
        <w:rPr>
          <w:rFonts w:ascii="Arial" w:hAnsi="Arial" w:cs="Arial"/>
          <w:sz w:val="24"/>
          <w:szCs w:val="24"/>
        </w:rPr>
      </w:pPr>
      <w:r w:rsidRPr="00850C41">
        <w:rPr>
          <w:rFonts w:ascii="Arial" w:hAnsi="Arial" w:cs="Arial"/>
          <w:sz w:val="24"/>
          <w:szCs w:val="24"/>
        </w:rPr>
        <w:t xml:space="preserve">The commissioners have a legal obligation to review and comment, while local </w:t>
      </w:r>
      <w:proofErr w:type="spellStart"/>
      <w:r w:rsidRPr="00850C41">
        <w:rPr>
          <w:rFonts w:ascii="Arial" w:hAnsi="Arial" w:cs="Arial"/>
          <w:sz w:val="24"/>
          <w:szCs w:val="24"/>
        </w:rPr>
        <w:t>Healthwatch</w:t>
      </w:r>
      <w:proofErr w:type="spellEnd"/>
      <w:r w:rsidRPr="00850C41">
        <w:rPr>
          <w:rFonts w:ascii="Arial" w:hAnsi="Arial" w:cs="Arial"/>
          <w:sz w:val="24"/>
          <w:szCs w:val="24"/>
        </w:rPr>
        <w:t xml:space="preserve"> organisations and OSCs are offered the opportunity to do so on a voluntary basis.</w:t>
      </w:r>
    </w:p>
    <w:p w14:paraId="67CCECAF" w14:textId="4FB7296A" w:rsidR="00850C41" w:rsidRDefault="00850C41" w:rsidP="00850C41">
      <w:pPr>
        <w:pStyle w:val="ListParagraph"/>
        <w:spacing w:after="0" w:line="240" w:lineRule="auto"/>
        <w:ind w:left="142" w:right="-471"/>
        <w:rPr>
          <w:rFonts w:ascii="Arial" w:hAnsi="Arial" w:cs="Arial"/>
          <w:sz w:val="24"/>
          <w:szCs w:val="24"/>
        </w:rPr>
      </w:pPr>
    </w:p>
    <w:p w14:paraId="146B8BB7" w14:textId="11CD37B5" w:rsidR="00D039D4" w:rsidRPr="005C31A9" w:rsidRDefault="00850C41" w:rsidP="004074D6">
      <w:pPr>
        <w:pStyle w:val="ListParagraph"/>
        <w:numPr>
          <w:ilvl w:val="1"/>
          <w:numId w:val="2"/>
        </w:numPr>
        <w:spacing w:after="0" w:line="240" w:lineRule="auto"/>
        <w:ind w:left="142" w:right="-471" w:hanging="574"/>
        <w:rPr>
          <w:rFonts w:ascii="Arial" w:hAnsi="Arial" w:cs="Arial"/>
        </w:rPr>
      </w:pPr>
      <w:r w:rsidRPr="005C31A9">
        <w:rPr>
          <w:rFonts w:ascii="Arial" w:hAnsi="Arial" w:cs="Arial"/>
          <w:sz w:val="24"/>
          <w:szCs w:val="24"/>
        </w:rPr>
        <w:t xml:space="preserve">The attached document (appendix 1) is the Trust’s final quality account for 2018/19 for review by the OSC. </w:t>
      </w:r>
    </w:p>
    <w:p w14:paraId="08DEE5E9" w14:textId="563856E2" w:rsidR="005C31A9" w:rsidRPr="005C31A9" w:rsidRDefault="005C31A9" w:rsidP="005C31A9">
      <w:pPr>
        <w:ind w:right="-471"/>
        <w:rPr>
          <w:rFonts w:ascii="Arial" w:hAnsi="Arial" w:cs="Arial"/>
        </w:rPr>
      </w:pPr>
    </w:p>
    <w:p w14:paraId="3A6B88EC" w14:textId="1C7A0875" w:rsidR="00A86B11" w:rsidRPr="008C3833" w:rsidRDefault="00DC5A0E" w:rsidP="008C3833">
      <w:pPr>
        <w:pStyle w:val="ListParagraph"/>
        <w:numPr>
          <w:ilvl w:val="0"/>
          <w:numId w:val="2"/>
        </w:numPr>
        <w:spacing w:after="0" w:line="240" w:lineRule="auto"/>
        <w:ind w:left="142" w:right="-471" w:hanging="568"/>
        <w:rPr>
          <w:rFonts w:ascii="Arial" w:hAnsi="Arial" w:cs="Arial"/>
          <w:b/>
          <w:sz w:val="24"/>
          <w:szCs w:val="24"/>
        </w:rPr>
      </w:pPr>
      <w:r w:rsidRPr="008249CA">
        <w:rPr>
          <w:rFonts w:ascii="Arial" w:hAnsi="Arial" w:cs="Arial"/>
          <w:b/>
          <w:sz w:val="24"/>
          <w:szCs w:val="24"/>
        </w:rPr>
        <w:t>Purpose</w:t>
      </w:r>
    </w:p>
    <w:p w14:paraId="343DD13C" w14:textId="2976EB80" w:rsidR="00DC5A0E" w:rsidRDefault="002A13A3" w:rsidP="00BA33D5">
      <w:pPr>
        <w:pStyle w:val="ListParagraph"/>
        <w:numPr>
          <w:ilvl w:val="1"/>
          <w:numId w:val="2"/>
        </w:numPr>
        <w:spacing w:after="0" w:line="240" w:lineRule="auto"/>
        <w:ind w:left="142" w:right="-471" w:hanging="568"/>
        <w:rPr>
          <w:rFonts w:ascii="Arial" w:hAnsi="Arial" w:cs="Arial"/>
          <w:sz w:val="24"/>
          <w:szCs w:val="24"/>
        </w:rPr>
      </w:pPr>
      <w:r>
        <w:rPr>
          <w:rFonts w:ascii="Arial" w:hAnsi="Arial" w:cs="Arial"/>
          <w:sz w:val="24"/>
          <w:szCs w:val="24"/>
        </w:rPr>
        <w:t xml:space="preserve">The purpose of this paper is to </w:t>
      </w:r>
      <w:r w:rsidR="008A3B31">
        <w:rPr>
          <w:rFonts w:ascii="Arial" w:hAnsi="Arial" w:cs="Arial"/>
          <w:sz w:val="24"/>
          <w:szCs w:val="24"/>
        </w:rPr>
        <w:t xml:space="preserve">put forward the final </w:t>
      </w:r>
      <w:r w:rsidR="003E7743">
        <w:rPr>
          <w:rFonts w:ascii="Arial" w:hAnsi="Arial" w:cs="Arial"/>
          <w:sz w:val="24"/>
          <w:szCs w:val="24"/>
        </w:rPr>
        <w:t xml:space="preserve">draft </w:t>
      </w:r>
      <w:r w:rsidR="008A3B31">
        <w:rPr>
          <w:rFonts w:ascii="Arial" w:hAnsi="Arial" w:cs="Arial"/>
          <w:sz w:val="24"/>
          <w:szCs w:val="24"/>
        </w:rPr>
        <w:t xml:space="preserve">quality account for </w:t>
      </w:r>
      <w:r w:rsidR="00850C41">
        <w:rPr>
          <w:rFonts w:ascii="Arial" w:hAnsi="Arial" w:cs="Arial"/>
          <w:sz w:val="24"/>
          <w:szCs w:val="24"/>
        </w:rPr>
        <w:t xml:space="preserve">noting. It is being </w:t>
      </w:r>
      <w:r w:rsidR="00850C41" w:rsidRPr="00850C41">
        <w:rPr>
          <w:rFonts w:ascii="Arial" w:hAnsi="Arial" w:cs="Arial"/>
          <w:sz w:val="24"/>
          <w:szCs w:val="24"/>
        </w:rPr>
        <w:t xml:space="preserve">presented to the committee at the request of the council.  </w:t>
      </w:r>
    </w:p>
    <w:p w14:paraId="7B37CFFD" w14:textId="77777777" w:rsidR="00045973" w:rsidRPr="00E96D01" w:rsidRDefault="00045973" w:rsidP="00E96D01">
      <w:pPr>
        <w:ind w:right="-471"/>
        <w:rPr>
          <w:rFonts w:ascii="Arial" w:hAnsi="Arial" w:cs="Arial"/>
        </w:rPr>
      </w:pPr>
    </w:p>
    <w:p w14:paraId="458CC1A1" w14:textId="7C1EE8D4" w:rsidR="00DC5A0E" w:rsidRPr="008C3833" w:rsidRDefault="00DC5A0E" w:rsidP="008C3833">
      <w:pPr>
        <w:pStyle w:val="ListParagraph"/>
        <w:numPr>
          <w:ilvl w:val="0"/>
          <w:numId w:val="2"/>
        </w:numPr>
        <w:spacing w:after="0" w:line="240" w:lineRule="auto"/>
        <w:ind w:left="142" w:right="-471" w:hanging="568"/>
        <w:rPr>
          <w:rFonts w:ascii="Arial" w:hAnsi="Arial" w:cs="Arial"/>
          <w:b/>
          <w:sz w:val="24"/>
          <w:szCs w:val="24"/>
        </w:rPr>
      </w:pPr>
      <w:r w:rsidRPr="008249CA">
        <w:rPr>
          <w:rFonts w:ascii="Arial" w:hAnsi="Arial" w:cs="Arial"/>
          <w:b/>
          <w:sz w:val="24"/>
          <w:szCs w:val="24"/>
        </w:rPr>
        <w:t xml:space="preserve">Background </w:t>
      </w:r>
    </w:p>
    <w:p w14:paraId="30BA2325" w14:textId="49759750" w:rsidR="00603C97" w:rsidRDefault="00850C41" w:rsidP="00850C41">
      <w:pPr>
        <w:pStyle w:val="ListParagraph"/>
        <w:numPr>
          <w:ilvl w:val="1"/>
          <w:numId w:val="2"/>
        </w:numPr>
        <w:spacing w:after="0" w:line="240" w:lineRule="auto"/>
        <w:ind w:left="142" w:right="-471" w:hanging="568"/>
        <w:rPr>
          <w:rFonts w:ascii="Arial" w:hAnsi="Arial" w:cs="Arial"/>
          <w:sz w:val="24"/>
          <w:szCs w:val="24"/>
        </w:rPr>
      </w:pPr>
      <w:r w:rsidRPr="00850C41">
        <w:rPr>
          <w:rFonts w:ascii="Arial" w:hAnsi="Arial" w:cs="Arial"/>
          <w:sz w:val="24"/>
          <w:szCs w:val="24"/>
        </w:rPr>
        <w:t>The Trust’s annual quality account sets out the organisation’s improvement priorities and metrics for the following year, and describes progress in delivering the priorities outlined in the previous document.</w:t>
      </w:r>
    </w:p>
    <w:p w14:paraId="3F3AB93F" w14:textId="77777777" w:rsidR="00D73F4E" w:rsidRPr="00D73F4E" w:rsidRDefault="00D73F4E" w:rsidP="00D73F4E">
      <w:pPr>
        <w:pStyle w:val="ListParagraph"/>
        <w:spacing w:after="0" w:line="240" w:lineRule="auto"/>
        <w:ind w:left="142" w:right="-471"/>
        <w:rPr>
          <w:rFonts w:ascii="Arial" w:hAnsi="Arial" w:cs="Arial"/>
          <w:sz w:val="24"/>
          <w:szCs w:val="24"/>
        </w:rPr>
      </w:pPr>
    </w:p>
    <w:p w14:paraId="613131CC" w14:textId="508785C1" w:rsidR="003F43B2" w:rsidRPr="00F10E33" w:rsidRDefault="00F63C09" w:rsidP="00F10E33">
      <w:pPr>
        <w:pStyle w:val="ListParagraph"/>
        <w:numPr>
          <w:ilvl w:val="1"/>
          <w:numId w:val="2"/>
        </w:numPr>
        <w:spacing w:after="0" w:line="240" w:lineRule="auto"/>
        <w:ind w:left="142" w:right="-471" w:hanging="568"/>
        <w:rPr>
          <w:rFonts w:ascii="Arial" w:hAnsi="Arial" w:cs="Arial"/>
          <w:sz w:val="24"/>
          <w:szCs w:val="24"/>
        </w:rPr>
      </w:pPr>
      <w:r w:rsidRPr="00F10E33">
        <w:rPr>
          <w:rFonts w:ascii="Arial" w:hAnsi="Arial" w:cs="Arial"/>
          <w:sz w:val="24"/>
          <w:szCs w:val="24"/>
        </w:rPr>
        <w:t>The quality account has been developed using the Department of Health Quality Account Toolkit and complies with the mandatory requirements in the following structure:</w:t>
      </w:r>
    </w:p>
    <w:p w14:paraId="46E47F98" w14:textId="77777777" w:rsidR="00F63C09" w:rsidRDefault="00F63C09" w:rsidP="00A86B11">
      <w:pPr>
        <w:rPr>
          <w:rFonts w:ascii="Arial" w:eastAsiaTheme="minorHAnsi" w:hAnsi="Arial" w:cs="Arial"/>
          <w:lang w:eastAsia="en-US"/>
        </w:rPr>
      </w:pPr>
    </w:p>
    <w:p w14:paraId="6606BAA6" w14:textId="77777777" w:rsidR="00F63C09" w:rsidRPr="00A86B11" w:rsidRDefault="00F63C09" w:rsidP="00F63C09">
      <w:pPr>
        <w:pStyle w:val="ListParagraph"/>
        <w:numPr>
          <w:ilvl w:val="0"/>
          <w:numId w:val="5"/>
        </w:numPr>
        <w:rPr>
          <w:rFonts w:ascii="Arial" w:hAnsi="Arial" w:cs="Arial"/>
          <w:sz w:val="24"/>
          <w:szCs w:val="24"/>
        </w:rPr>
      </w:pPr>
      <w:r w:rsidRPr="00A86B11">
        <w:rPr>
          <w:rFonts w:ascii="Arial" w:hAnsi="Arial" w:cs="Arial"/>
          <w:sz w:val="24"/>
          <w:szCs w:val="24"/>
        </w:rPr>
        <w:t>Part 1: Statement from the Chief Executive and About Our Trust.</w:t>
      </w:r>
    </w:p>
    <w:p w14:paraId="2B335716" w14:textId="21AF5E01" w:rsidR="00F63C09" w:rsidRPr="00A86B11" w:rsidRDefault="00F63C09" w:rsidP="00F63C09">
      <w:pPr>
        <w:pStyle w:val="ListParagraph"/>
        <w:numPr>
          <w:ilvl w:val="0"/>
          <w:numId w:val="5"/>
        </w:numPr>
        <w:rPr>
          <w:rFonts w:ascii="Arial" w:hAnsi="Arial" w:cs="Arial"/>
          <w:sz w:val="24"/>
          <w:szCs w:val="24"/>
        </w:rPr>
      </w:pPr>
      <w:r w:rsidRPr="00A86B11">
        <w:rPr>
          <w:rFonts w:ascii="Arial" w:hAnsi="Arial" w:cs="Arial"/>
          <w:sz w:val="24"/>
          <w:szCs w:val="24"/>
        </w:rPr>
        <w:t>Part 2</w:t>
      </w:r>
      <w:r>
        <w:rPr>
          <w:rFonts w:ascii="Arial" w:hAnsi="Arial" w:cs="Arial"/>
          <w:sz w:val="24"/>
          <w:szCs w:val="24"/>
        </w:rPr>
        <w:t>a</w:t>
      </w:r>
      <w:r w:rsidRPr="00A86B11">
        <w:rPr>
          <w:rFonts w:ascii="Arial" w:hAnsi="Arial" w:cs="Arial"/>
          <w:sz w:val="24"/>
          <w:szCs w:val="24"/>
        </w:rPr>
        <w:t>: Our quality improvement plan and priorities for 2019/20</w:t>
      </w:r>
    </w:p>
    <w:p w14:paraId="6BA0A63B" w14:textId="520E6E9D" w:rsidR="00F63C09" w:rsidRPr="00A86B11" w:rsidRDefault="00F63C09" w:rsidP="00F63C09">
      <w:pPr>
        <w:pStyle w:val="ListParagraph"/>
        <w:numPr>
          <w:ilvl w:val="0"/>
          <w:numId w:val="6"/>
        </w:numPr>
        <w:rPr>
          <w:rFonts w:ascii="Arial" w:hAnsi="Arial" w:cs="Arial"/>
          <w:sz w:val="24"/>
          <w:szCs w:val="24"/>
        </w:rPr>
      </w:pPr>
      <w:r>
        <w:rPr>
          <w:rFonts w:ascii="Arial" w:hAnsi="Arial" w:cs="Arial"/>
          <w:sz w:val="24"/>
          <w:szCs w:val="24"/>
        </w:rPr>
        <w:t>Part 2b</w:t>
      </w:r>
      <w:r w:rsidRPr="00A86B11">
        <w:rPr>
          <w:rFonts w:ascii="Arial" w:hAnsi="Arial" w:cs="Arial"/>
          <w:sz w:val="24"/>
          <w:szCs w:val="24"/>
        </w:rPr>
        <w:t>: Statements of assurance from the Trust Board</w:t>
      </w:r>
    </w:p>
    <w:p w14:paraId="0D160AF7" w14:textId="4826D84E" w:rsidR="00F63C09" w:rsidRDefault="00F63C09" w:rsidP="00F63C09">
      <w:pPr>
        <w:pStyle w:val="ListParagraph"/>
        <w:numPr>
          <w:ilvl w:val="0"/>
          <w:numId w:val="6"/>
        </w:numPr>
        <w:rPr>
          <w:rFonts w:ascii="Arial" w:hAnsi="Arial" w:cs="Arial"/>
          <w:sz w:val="24"/>
          <w:szCs w:val="24"/>
        </w:rPr>
      </w:pPr>
      <w:r>
        <w:rPr>
          <w:rFonts w:ascii="Arial" w:hAnsi="Arial" w:cs="Arial"/>
          <w:sz w:val="24"/>
          <w:szCs w:val="24"/>
        </w:rPr>
        <w:t>Part 3</w:t>
      </w:r>
      <w:r w:rsidRPr="00A86B11">
        <w:rPr>
          <w:rFonts w:ascii="Arial" w:hAnsi="Arial" w:cs="Arial"/>
          <w:sz w:val="24"/>
          <w:szCs w:val="24"/>
        </w:rPr>
        <w:t>: Review of our quality progress 2018/19</w:t>
      </w:r>
    </w:p>
    <w:p w14:paraId="451CDBD1" w14:textId="77777777" w:rsidR="00F10E33" w:rsidRPr="00A86B11" w:rsidRDefault="00F10E33" w:rsidP="00F10E33">
      <w:pPr>
        <w:pStyle w:val="ListParagraph"/>
        <w:rPr>
          <w:rFonts w:ascii="Arial" w:hAnsi="Arial" w:cs="Arial"/>
          <w:sz w:val="24"/>
          <w:szCs w:val="24"/>
        </w:rPr>
      </w:pPr>
    </w:p>
    <w:p w14:paraId="1DE3B057" w14:textId="67778644" w:rsidR="00F10E33" w:rsidRPr="00F10E33" w:rsidRDefault="00A60819" w:rsidP="00A86B11">
      <w:pPr>
        <w:pStyle w:val="ListParagraph"/>
        <w:numPr>
          <w:ilvl w:val="1"/>
          <w:numId w:val="2"/>
        </w:numPr>
        <w:spacing w:after="0" w:line="240" w:lineRule="auto"/>
        <w:ind w:left="142" w:right="-471" w:hanging="568"/>
        <w:rPr>
          <w:rFonts w:ascii="Arial" w:hAnsi="Arial" w:cs="Arial"/>
          <w:sz w:val="24"/>
          <w:szCs w:val="24"/>
        </w:rPr>
      </w:pPr>
      <w:r>
        <w:rPr>
          <w:rFonts w:ascii="Arial" w:hAnsi="Arial" w:cs="Arial"/>
          <w:sz w:val="24"/>
          <w:szCs w:val="24"/>
        </w:rPr>
        <w:t xml:space="preserve">The final document will </w:t>
      </w:r>
      <w:r w:rsidR="00F63C09" w:rsidRPr="00F10E33">
        <w:rPr>
          <w:rFonts w:ascii="Arial" w:hAnsi="Arial" w:cs="Arial"/>
          <w:sz w:val="24"/>
          <w:szCs w:val="24"/>
        </w:rPr>
        <w:t>include statements from our external stakeholders and the independent auditor’s assurance report</w:t>
      </w:r>
      <w:r>
        <w:rPr>
          <w:rFonts w:ascii="Arial" w:hAnsi="Arial" w:cs="Arial"/>
          <w:sz w:val="24"/>
          <w:szCs w:val="24"/>
        </w:rPr>
        <w:t xml:space="preserve"> which are being collated currently</w:t>
      </w:r>
      <w:r w:rsidR="00F63C09" w:rsidRPr="00F10E33">
        <w:rPr>
          <w:rFonts w:ascii="Arial" w:hAnsi="Arial" w:cs="Arial"/>
          <w:sz w:val="24"/>
          <w:szCs w:val="24"/>
        </w:rPr>
        <w:t xml:space="preserve">. </w:t>
      </w:r>
    </w:p>
    <w:p w14:paraId="1F7E8319" w14:textId="77777777" w:rsidR="001F2E2B" w:rsidRDefault="001F2E2B" w:rsidP="00EC36DE">
      <w:pPr>
        <w:rPr>
          <w:rFonts w:ascii="Arial" w:eastAsiaTheme="minorHAnsi" w:hAnsi="Arial" w:cs="Arial"/>
          <w:lang w:eastAsia="en-US"/>
        </w:rPr>
      </w:pPr>
    </w:p>
    <w:p w14:paraId="2A3951AF" w14:textId="7E5ACB9B" w:rsidR="001F2E2B" w:rsidRPr="008C3833" w:rsidRDefault="008C3833" w:rsidP="001F2E2B">
      <w:pPr>
        <w:pStyle w:val="ListParagraph"/>
        <w:numPr>
          <w:ilvl w:val="0"/>
          <w:numId w:val="2"/>
        </w:numPr>
        <w:spacing w:after="0" w:line="240" w:lineRule="auto"/>
        <w:ind w:left="142" w:right="-471" w:hanging="568"/>
        <w:rPr>
          <w:rFonts w:ascii="Arial" w:hAnsi="Arial" w:cs="Arial"/>
          <w:b/>
          <w:sz w:val="24"/>
          <w:szCs w:val="24"/>
        </w:rPr>
      </w:pPr>
      <w:r>
        <w:rPr>
          <w:rFonts w:ascii="Arial" w:hAnsi="Arial" w:cs="Arial"/>
          <w:b/>
          <w:sz w:val="24"/>
          <w:szCs w:val="24"/>
        </w:rPr>
        <w:t>Consultation process</w:t>
      </w:r>
    </w:p>
    <w:p w14:paraId="5D4C9395" w14:textId="77777777" w:rsidR="00E96D01" w:rsidRDefault="00E96D01" w:rsidP="00E96D01">
      <w:pPr>
        <w:pStyle w:val="ListParagraph"/>
        <w:numPr>
          <w:ilvl w:val="1"/>
          <w:numId w:val="2"/>
        </w:numPr>
        <w:spacing w:after="0" w:line="240" w:lineRule="auto"/>
        <w:ind w:left="142" w:right="-471" w:hanging="568"/>
        <w:rPr>
          <w:rFonts w:ascii="Arial" w:hAnsi="Arial" w:cs="Arial"/>
          <w:sz w:val="24"/>
          <w:szCs w:val="24"/>
        </w:rPr>
      </w:pPr>
      <w:r w:rsidRPr="00E96D01">
        <w:rPr>
          <w:rFonts w:ascii="Arial" w:hAnsi="Arial" w:cs="Arial"/>
          <w:sz w:val="24"/>
          <w:szCs w:val="24"/>
        </w:rPr>
        <w:t xml:space="preserve">As part of the process, the Trust is required to seek engagement from internal and external stakeholders. This includes offering our commissioners, </w:t>
      </w:r>
      <w:proofErr w:type="spellStart"/>
      <w:r w:rsidRPr="00E96D01">
        <w:rPr>
          <w:rFonts w:ascii="Arial" w:hAnsi="Arial" w:cs="Arial"/>
          <w:sz w:val="24"/>
          <w:szCs w:val="24"/>
        </w:rPr>
        <w:t>Healthwatch</w:t>
      </w:r>
      <w:proofErr w:type="spellEnd"/>
      <w:r w:rsidRPr="00E96D01">
        <w:rPr>
          <w:rFonts w:ascii="Arial" w:hAnsi="Arial" w:cs="Arial"/>
          <w:sz w:val="24"/>
          <w:szCs w:val="24"/>
        </w:rPr>
        <w:t xml:space="preserve"> and the local Overview &amp; Scrutiny Committees the opportunity to comment on the draft report. </w:t>
      </w:r>
    </w:p>
    <w:p w14:paraId="66367C0B" w14:textId="77777777" w:rsidR="00E96D01" w:rsidRPr="00E96D01" w:rsidRDefault="00E96D01" w:rsidP="00E96D01">
      <w:pPr>
        <w:pStyle w:val="ListParagraph"/>
        <w:spacing w:after="0" w:line="240" w:lineRule="auto"/>
        <w:ind w:left="142" w:right="-471"/>
        <w:rPr>
          <w:rFonts w:ascii="Arial" w:hAnsi="Arial" w:cs="Arial"/>
          <w:sz w:val="24"/>
          <w:szCs w:val="24"/>
        </w:rPr>
      </w:pPr>
    </w:p>
    <w:p w14:paraId="609DCEF7" w14:textId="77777777" w:rsidR="003E7743" w:rsidRDefault="00E96D01" w:rsidP="003E7743">
      <w:pPr>
        <w:pStyle w:val="ListParagraph"/>
        <w:numPr>
          <w:ilvl w:val="1"/>
          <w:numId w:val="2"/>
        </w:numPr>
        <w:spacing w:after="0" w:line="240" w:lineRule="auto"/>
        <w:ind w:left="142" w:right="-471" w:hanging="568"/>
        <w:rPr>
          <w:rFonts w:ascii="Arial" w:hAnsi="Arial" w:cs="Arial"/>
          <w:sz w:val="24"/>
          <w:szCs w:val="24"/>
        </w:rPr>
      </w:pPr>
      <w:r w:rsidRPr="00E96D01">
        <w:rPr>
          <w:rFonts w:ascii="Arial" w:hAnsi="Arial" w:cs="Arial"/>
          <w:sz w:val="24"/>
          <w:szCs w:val="24"/>
        </w:rPr>
        <w:t>The first draft was circulated for consultation following approval at executive quality committee in April to our external stakeholders</w:t>
      </w:r>
      <w:r w:rsidR="003E7743">
        <w:rPr>
          <w:rFonts w:ascii="Arial" w:hAnsi="Arial" w:cs="Arial"/>
          <w:sz w:val="24"/>
          <w:szCs w:val="24"/>
        </w:rPr>
        <w:t>, our lay partners,</w:t>
      </w:r>
      <w:r w:rsidRPr="00E96D01">
        <w:rPr>
          <w:rFonts w:ascii="Arial" w:hAnsi="Arial" w:cs="Arial"/>
          <w:sz w:val="24"/>
          <w:szCs w:val="24"/>
        </w:rPr>
        <w:t xml:space="preserve"> and also internally, to our non-executive and executive directors. </w:t>
      </w:r>
    </w:p>
    <w:p w14:paraId="23C08DC3" w14:textId="77777777" w:rsidR="00A60819" w:rsidRPr="00A60819" w:rsidRDefault="00A60819" w:rsidP="00A60819">
      <w:pPr>
        <w:pStyle w:val="ListParagraph"/>
        <w:rPr>
          <w:rFonts w:ascii="Arial" w:hAnsi="Arial" w:cs="Arial"/>
          <w:sz w:val="24"/>
          <w:szCs w:val="24"/>
        </w:rPr>
      </w:pPr>
    </w:p>
    <w:p w14:paraId="45858869" w14:textId="258BEE28" w:rsidR="00850C41" w:rsidRPr="00D73F4E" w:rsidRDefault="003E7743" w:rsidP="00D73F4E">
      <w:pPr>
        <w:pStyle w:val="ListParagraph"/>
        <w:numPr>
          <w:ilvl w:val="1"/>
          <w:numId w:val="2"/>
        </w:numPr>
        <w:spacing w:after="0" w:line="240" w:lineRule="auto"/>
        <w:ind w:left="142" w:right="-471" w:hanging="568"/>
        <w:rPr>
          <w:rFonts w:ascii="Arial" w:hAnsi="Arial" w:cs="Arial"/>
          <w:sz w:val="24"/>
          <w:szCs w:val="24"/>
        </w:rPr>
      </w:pPr>
      <w:r w:rsidRPr="00A60819">
        <w:rPr>
          <w:rFonts w:ascii="Arial" w:hAnsi="Arial" w:cs="Arial"/>
          <w:sz w:val="24"/>
          <w:szCs w:val="24"/>
        </w:rPr>
        <w:lastRenderedPageBreak/>
        <w:t xml:space="preserve">Feedback on the draft has been constructive and helpful and where possible has been addressed in the final draft.  </w:t>
      </w:r>
      <w:r w:rsidR="00A60819" w:rsidRPr="00A60819">
        <w:rPr>
          <w:rFonts w:ascii="Arial" w:hAnsi="Arial" w:cs="Arial"/>
          <w:sz w:val="24"/>
          <w:szCs w:val="24"/>
        </w:rPr>
        <w:t>A number of questions about the content, structure and the density of data included prompted a full review again of the guidance and regulations</w:t>
      </w:r>
      <w:r w:rsidR="00A60819">
        <w:rPr>
          <w:rFonts w:ascii="Arial" w:hAnsi="Arial" w:cs="Arial"/>
          <w:sz w:val="24"/>
          <w:szCs w:val="24"/>
        </w:rPr>
        <w:t xml:space="preserve"> </w:t>
      </w:r>
      <w:r w:rsidR="00A60819" w:rsidRPr="00A60819">
        <w:rPr>
          <w:rFonts w:ascii="Arial" w:hAnsi="Arial" w:cs="Arial"/>
          <w:sz w:val="24"/>
          <w:szCs w:val="24"/>
        </w:rPr>
        <w:t xml:space="preserve">with changes made as a result including moving some of the data into the appendices following external audit’s approval. </w:t>
      </w:r>
    </w:p>
    <w:p w14:paraId="38B97E9F" w14:textId="77777777" w:rsidR="00A60819" w:rsidRPr="00A60819" w:rsidRDefault="00A60819" w:rsidP="00A60819">
      <w:pPr>
        <w:ind w:right="-471"/>
        <w:rPr>
          <w:rFonts w:ascii="Arial" w:hAnsi="Arial" w:cs="Arial"/>
        </w:rPr>
      </w:pPr>
    </w:p>
    <w:p w14:paraId="6AF7A73A" w14:textId="1605CBE3" w:rsidR="003E7743" w:rsidRPr="003E7743" w:rsidRDefault="003E7743" w:rsidP="003E7743">
      <w:pPr>
        <w:pStyle w:val="ListParagraph"/>
        <w:numPr>
          <w:ilvl w:val="1"/>
          <w:numId w:val="2"/>
        </w:numPr>
        <w:spacing w:after="0" w:line="240" w:lineRule="auto"/>
        <w:ind w:left="142" w:right="-471" w:hanging="568"/>
        <w:rPr>
          <w:rFonts w:ascii="Arial" w:hAnsi="Arial" w:cs="Arial"/>
          <w:sz w:val="24"/>
          <w:szCs w:val="24"/>
        </w:rPr>
      </w:pPr>
      <w:r w:rsidRPr="00E96D01">
        <w:rPr>
          <w:rFonts w:ascii="Arial" w:hAnsi="Arial" w:cs="Arial"/>
          <w:sz w:val="24"/>
          <w:szCs w:val="24"/>
        </w:rPr>
        <w:t xml:space="preserve">The </w:t>
      </w:r>
      <w:r>
        <w:rPr>
          <w:rFonts w:ascii="Arial" w:hAnsi="Arial" w:cs="Arial"/>
          <w:sz w:val="24"/>
          <w:szCs w:val="24"/>
        </w:rPr>
        <w:t>final</w:t>
      </w:r>
      <w:r w:rsidRPr="00E96D01">
        <w:rPr>
          <w:rFonts w:ascii="Arial" w:hAnsi="Arial" w:cs="Arial"/>
          <w:sz w:val="24"/>
          <w:szCs w:val="24"/>
        </w:rPr>
        <w:t xml:space="preserve"> draft was approved at </w:t>
      </w:r>
      <w:r w:rsidR="00850C41">
        <w:rPr>
          <w:rFonts w:ascii="Arial" w:hAnsi="Arial" w:cs="Arial"/>
          <w:sz w:val="24"/>
          <w:szCs w:val="24"/>
        </w:rPr>
        <w:t>Audit, Risk and Governance Committee in</w:t>
      </w:r>
      <w:r w:rsidRPr="00E96D01">
        <w:rPr>
          <w:rFonts w:ascii="Arial" w:hAnsi="Arial" w:cs="Arial"/>
          <w:sz w:val="24"/>
          <w:szCs w:val="24"/>
        </w:rPr>
        <w:t xml:space="preserve"> May. It was circulated to our external stakeholders to allow them to formulat</w:t>
      </w:r>
      <w:r w:rsidR="00850C41">
        <w:rPr>
          <w:rFonts w:ascii="Arial" w:hAnsi="Arial" w:cs="Arial"/>
          <w:sz w:val="24"/>
          <w:szCs w:val="24"/>
        </w:rPr>
        <w:t>e their final statements</w:t>
      </w:r>
      <w:r w:rsidRPr="00E96D01">
        <w:rPr>
          <w:rFonts w:ascii="Arial" w:hAnsi="Arial" w:cs="Arial"/>
          <w:sz w:val="24"/>
          <w:szCs w:val="24"/>
        </w:rPr>
        <w:t xml:space="preserve">. Once received these will be incorporated into the document prior to publication. </w:t>
      </w:r>
    </w:p>
    <w:p w14:paraId="68F3C5C9" w14:textId="77777777" w:rsidR="003E7743" w:rsidRPr="003E7743" w:rsidRDefault="003E7743" w:rsidP="003E7743">
      <w:pPr>
        <w:pStyle w:val="ListParagraph"/>
        <w:spacing w:after="0" w:line="240" w:lineRule="auto"/>
        <w:ind w:left="142" w:right="-471"/>
        <w:rPr>
          <w:rFonts w:ascii="Arial" w:hAnsi="Arial" w:cs="Arial"/>
          <w:sz w:val="24"/>
          <w:szCs w:val="24"/>
        </w:rPr>
      </w:pPr>
    </w:p>
    <w:p w14:paraId="2D57F520" w14:textId="1DF7C201" w:rsidR="00E96D01" w:rsidRDefault="00E96D01" w:rsidP="00E96D01">
      <w:pPr>
        <w:pStyle w:val="ListParagraph"/>
        <w:numPr>
          <w:ilvl w:val="1"/>
          <w:numId w:val="2"/>
        </w:numPr>
        <w:spacing w:after="0" w:line="240" w:lineRule="auto"/>
        <w:ind w:left="142" w:right="-471" w:hanging="568"/>
        <w:rPr>
          <w:rFonts w:ascii="Arial" w:hAnsi="Arial" w:cs="Arial"/>
          <w:sz w:val="24"/>
          <w:szCs w:val="24"/>
        </w:rPr>
      </w:pPr>
      <w:r w:rsidRPr="00E96D01">
        <w:rPr>
          <w:rFonts w:ascii="Arial" w:hAnsi="Arial" w:cs="Arial"/>
          <w:sz w:val="24"/>
          <w:szCs w:val="24"/>
        </w:rPr>
        <w:t xml:space="preserve">The quality account is subjected to external auditing, with the external auditors’ statement also included in the published document. </w:t>
      </w:r>
    </w:p>
    <w:p w14:paraId="464FA385" w14:textId="77777777" w:rsidR="00045973" w:rsidRPr="00336AD8" w:rsidRDefault="00045973" w:rsidP="00D2334A">
      <w:pPr>
        <w:ind w:right="-471"/>
        <w:rPr>
          <w:rFonts w:ascii="Arial" w:hAnsi="Arial" w:cs="Arial"/>
        </w:rPr>
      </w:pPr>
    </w:p>
    <w:p w14:paraId="1004D936" w14:textId="3C782809" w:rsidR="00F10E33" w:rsidRPr="008C3833" w:rsidRDefault="005F01F1" w:rsidP="008C3833">
      <w:pPr>
        <w:pStyle w:val="ListParagraph"/>
        <w:numPr>
          <w:ilvl w:val="0"/>
          <w:numId w:val="2"/>
        </w:numPr>
        <w:spacing w:after="0" w:line="240" w:lineRule="auto"/>
        <w:ind w:left="142" w:right="-471" w:hanging="568"/>
        <w:rPr>
          <w:rFonts w:ascii="Arial" w:hAnsi="Arial" w:cs="Arial"/>
          <w:b/>
          <w:sz w:val="24"/>
          <w:szCs w:val="24"/>
        </w:rPr>
      </w:pPr>
      <w:r w:rsidRPr="005F01F1">
        <w:rPr>
          <w:rFonts w:ascii="Arial" w:hAnsi="Arial" w:cs="Arial"/>
          <w:b/>
          <w:sz w:val="24"/>
          <w:szCs w:val="24"/>
        </w:rPr>
        <w:t>Conclusion and next steps</w:t>
      </w:r>
      <w:r w:rsidR="00261D4D">
        <w:rPr>
          <w:rFonts w:ascii="Arial" w:hAnsi="Arial" w:cs="Arial"/>
          <w:b/>
          <w:sz w:val="24"/>
          <w:szCs w:val="24"/>
        </w:rPr>
        <w:t xml:space="preserve"> </w:t>
      </w:r>
    </w:p>
    <w:p w14:paraId="4B7DCD67" w14:textId="6576C1C1" w:rsidR="009428D0" w:rsidRPr="009428D0" w:rsidRDefault="00F63C09" w:rsidP="001F2E2B">
      <w:pPr>
        <w:pStyle w:val="ListParagraph"/>
        <w:numPr>
          <w:ilvl w:val="1"/>
          <w:numId w:val="2"/>
        </w:numPr>
        <w:spacing w:after="0" w:line="240" w:lineRule="auto"/>
        <w:ind w:left="142" w:right="-471" w:hanging="568"/>
        <w:rPr>
          <w:rFonts w:ascii="Arial" w:hAnsi="Arial" w:cs="Arial"/>
        </w:rPr>
      </w:pPr>
      <w:r w:rsidRPr="009428D0">
        <w:rPr>
          <w:rFonts w:ascii="Arial" w:hAnsi="Arial" w:cs="Arial"/>
          <w:sz w:val="24"/>
          <w:szCs w:val="24"/>
        </w:rPr>
        <w:t xml:space="preserve">Appendix 1 is the final draft of the </w:t>
      </w:r>
      <w:r w:rsidR="008446AC" w:rsidRPr="009428D0">
        <w:rPr>
          <w:rFonts w:ascii="Arial" w:hAnsi="Arial" w:cs="Arial"/>
          <w:sz w:val="24"/>
          <w:szCs w:val="24"/>
        </w:rPr>
        <w:t>Trust’s quality account for 2018/19</w:t>
      </w:r>
      <w:r w:rsidRPr="009428D0">
        <w:rPr>
          <w:rFonts w:ascii="Arial" w:hAnsi="Arial" w:cs="Arial"/>
          <w:sz w:val="24"/>
          <w:szCs w:val="24"/>
        </w:rPr>
        <w:t>.</w:t>
      </w:r>
      <w:r w:rsidR="009428D0">
        <w:rPr>
          <w:rFonts w:ascii="Arial" w:hAnsi="Arial" w:cs="Arial"/>
          <w:sz w:val="24"/>
          <w:szCs w:val="24"/>
        </w:rPr>
        <w:t xml:space="preserve"> Next steps for the document are:</w:t>
      </w:r>
    </w:p>
    <w:p w14:paraId="1681E646" w14:textId="60B82D6F" w:rsidR="009428D0" w:rsidRPr="009428D0" w:rsidRDefault="009428D0" w:rsidP="009428D0">
      <w:pPr>
        <w:pStyle w:val="ListParagraph"/>
        <w:numPr>
          <w:ilvl w:val="0"/>
          <w:numId w:val="19"/>
        </w:numPr>
        <w:rPr>
          <w:rFonts w:ascii="Arial" w:hAnsi="Arial" w:cs="Arial"/>
          <w:sz w:val="24"/>
          <w:szCs w:val="24"/>
        </w:rPr>
      </w:pPr>
      <w:r w:rsidRPr="009428D0">
        <w:rPr>
          <w:rFonts w:ascii="Arial" w:hAnsi="Arial" w:cs="Arial"/>
          <w:sz w:val="24"/>
          <w:szCs w:val="24"/>
        </w:rPr>
        <w:t>Final draft to be professionally designed and graphics included – throughout May</w:t>
      </w:r>
      <w:r w:rsidR="00850C41">
        <w:rPr>
          <w:rFonts w:ascii="Arial" w:hAnsi="Arial" w:cs="Arial"/>
          <w:sz w:val="24"/>
          <w:szCs w:val="24"/>
        </w:rPr>
        <w:t>/early June</w:t>
      </w:r>
      <w:r w:rsidRPr="009428D0">
        <w:rPr>
          <w:rFonts w:ascii="Arial" w:hAnsi="Arial" w:cs="Arial"/>
          <w:sz w:val="24"/>
          <w:szCs w:val="24"/>
        </w:rPr>
        <w:t xml:space="preserve"> 201</w:t>
      </w:r>
      <w:r w:rsidR="008E2D82">
        <w:rPr>
          <w:rFonts w:ascii="Arial" w:hAnsi="Arial" w:cs="Arial"/>
          <w:sz w:val="24"/>
          <w:szCs w:val="24"/>
        </w:rPr>
        <w:t>9</w:t>
      </w:r>
      <w:r w:rsidRPr="009428D0">
        <w:rPr>
          <w:rFonts w:ascii="Arial" w:hAnsi="Arial" w:cs="Arial"/>
          <w:sz w:val="24"/>
          <w:szCs w:val="24"/>
        </w:rPr>
        <w:t>;</w:t>
      </w:r>
    </w:p>
    <w:p w14:paraId="0FCFA43C" w14:textId="29B48662" w:rsidR="009428D0" w:rsidRPr="009428D0" w:rsidRDefault="009428D0" w:rsidP="009428D0">
      <w:pPr>
        <w:pStyle w:val="ListParagraph"/>
        <w:numPr>
          <w:ilvl w:val="0"/>
          <w:numId w:val="19"/>
        </w:numPr>
        <w:rPr>
          <w:rFonts w:ascii="Arial" w:hAnsi="Arial" w:cs="Arial"/>
          <w:sz w:val="24"/>
          <w:szCs w:val="24"/>
        </w:rPr>
      </w:pPr>
      <w:r w:rsidRPr="009428D0">
        <w:rPr>
          <w:rFonts w:ascii="Arial" w:hAnsi="Arial" w:cs="Arial"/>
          <w:sz w:val="24"/>
          <w:szCs w:val="24"/>
        </w:rPr>
        <w:t>Fi</w:t>
      </w:r>
      <w:r w:rsidR="008E2D82">
        <w:rPr>
          <w:rFonts w:ascii="Arial" w:hAnsi="Arial" w:cs="Arial"/>
          <w:sz w:val="24"/>
          <w:szCs w:val="24"/>
        </w:rPr>
        <w:t>nal sign off by CEO and Chair</w:t>
      </w:r>
      <w:r w:rsidRPr="009428D0">
        <w:rPr>
          <w:rFonts w:ascii="Arial" w:hAnsi="Arial" w:cs="Arial"/>
          <w:sz w:val="24"/>
          <w:szCs w:val="24"/>
        </w:rPr>
        <w:t xml:space="preserve"> on behalf of the Board </w:t>
      </w:r>
      <w:r>
        <w:rPr>
          <w:rFonts w:ascii="Arial" w:hAnsi="Arial" w:cs="Arial"/>
          <w:sz w:val="24"/>
          <w:szCs w:val="24"/>
        </w:rPr>
        <w:t>– by 14</w:t>
      </w:r>
      <w:r w:rsidRPr="009428D0">
        <w:rPr>
          <w:rFonts w:ascii="Arial" w:hAnsi="Arial" w:cs="Arial"/>
          <w:sz w:val="24"/>
          <w:szCs w:val="24"/>
          <w:vertAlign w:val="superscript"/>
        </w:rPr>
        <w:t>th</w:t>
      </w:r>
      <w:r w:rsidRPr="009428D0">
        <w:rPr>
          <w:rFonts w:ascii="Arial" w:hAnsi="Arial" w:cs="Arial"/>
          <w:sz w:val="24"/>
          <w:szCs w:val="24"/>
        </w:rPr>
        <w:t xml:space="preserve"> June 201</w:t>
      </w:r>
      <w:r w:rsidR="008E2D82">
        <w:rPr>
          <w:rFonts w:ascii="Arial" w:hAnsi="Arial" w:cs="Arial"/>
          <w:sz w:val="24"/>
          <w:szCs w:val="24"/>
        </w:rPr>
        <w:t>9</w:t>
      </w:r>
      <w:r w:rsidRPr="009428D0">
        <w:rPr>
          <w:rFonts w:ascii="Arial" w:hAnsi="Arial" w:cs="Arial"/>
          <w:sz w:val="24"/>
          <w:szCs w:val="24"/>
        </w:rPr>
        <w:t>;</w:t>
      </w:r>
    </w:p>
    <w:p w14:paraId="2AD53874" w14:textId="2375E0B1" w:rsidR="004B5E58" w:rsidRDefault="009428D0" w:rsidP="00850C41">
      <w:pPr>
        <w:pStyle w:val="ListParagraph"/>
        <w:numPr>
          <w:ilvl w:val="0"/>
          <w:numId w:val="19"/>
        </w:numPr>
        <w:rPr>
          <w:rFonts w:ascii="Arial" w:hAnsi="Arial" w:cs="Arial"/>
          <w:sz w:val="24"/>
          <w:szCs w:val="24"/>
        </w:rPr>
      </w:pPr>
      <w:r w:rsidRPr="009428D0">
        <w:rPr>
          <w:rFonts w:ascii="Arial" w:hAnsi="Arial" w:cs="Arial"/>
          <w:sz w:val="24"/>
          <w:szCs w:val="24"/>
        </w:rPr>
        <w:t xml:space="preserve">Publication of quality account – </w:t>
      </w:r>
      <w:r>
        <w:rPr>
          <w:rFonts w:ascii="Arial" w:hAnsi="Arial" w:cs="Arial"/>
          <w:sz w:val="24"/>
          <w:szCs w:val="24"/>
        </w:rPr>
        <w:t xml:space="preserve">by </w:t>
      </w:r>
      <w:r w:rsidRPr="009428D0">
        <w:rPr>
          <w:rFonts w:ascii="Arial" w:hAnsi="Arial" w:cs="Arial"/>
          <w:sz w:val="24"/>
          <w:szCs w:val="24"/>
        </w:rPr>
        <w:t>2</w:t>
      </w:r>
      <w:r>
        <w:rPr>
          <w:rFonts w:ascii="Arial" w:hAnsi="Arial" w:cs="Arial"/>
          <w:sz w:val="24"/>
          <w:szCs w:val="24"/>
        </w:rPr>
        <w:t>8</w:t>
      </w:r>
      <w:r w:rsidRPr="009428D0">
        <w:rPr>
          <w:rFonts w:ascii="Arial" w:hAnsi="Arial" w:cs="Arial"/>
          <w:sz w:val="24"/>
          <w:szCs w:val="24"/>
          <w:vertAlign w:val="superscript"/>
        </w:rPr>
        <w:t>th</w:t>
      </w:r>
      <w:r w:rsidRPr="009428D0">
        <w:rPr>
          <w:rFonts w:ascii="Arial" w:hAnsi="Arial" w:cs="Arial"/>
          <w:sz w:val="24"/>
          <w:szCs w:val="24"/>
        </w:rPr>
        <w:t xml:space="preserve"> June 201</w:t>
      </w:r>
      <w:r w:rsidR="008E2D82">
        <w:rPr>
          <w:rFonts w:ascii="Arial" w:hAnsi="Arial" w:cs="Arial"/>
          <w:sz w:val="24"/>
          <w:szCs w:val="24"/>
        </w:rPr>
        <w:t>9</w:t>
      </w:r>
      <w:r w:rsidRPr="009428D0">
        <w:rPr>
          <w:rFonts w:ascii="Arial" w:hAnsi="Arial" w:cs="Arial"/>
          <w:sz w:val="24"/>
          <w:szCs w:val="24"/>
        </w:rPr>
        <w:t>.</w:t>
      </w:r>
    </w:p>
    <w:p w14:paraId="7C39A4F0" w14:textId="77777777" w:rsidR="00850C41" w:rsidRPr="00850C41" w:rsidRDefault="00850C41" w:rsidP="00850C41">
      <w:pPr>
        <w:pStyle w:val="ListParagraph"/>
        <w:ind w:left="360"/>
        <w:rPr>
          <w:rFonts w:ascii="Arial" w:hAnsi="Arial" w:cs="Arial"/>
          <w:sz w:val="24"/>
          <w:szCs w:val="24"/>
        </w:rPr>
      </w:pPr>
    </w:p>
    <w:p w14:paraId="59C1D628" w14:textId="3B335BA5" w:rsidR="008E2D82" w:rsidRPr="008E2D82" w:rsidRDefault="005F01F1" w:rsidP="009D13BB">
      <w:pPr>
        <w:pStyle w:val="ListParagraph"/>
        <w:numPr>
          <w:ilvl w:val="0"/>
          <w:numId w:val="2"/>
        </w:numPr>
        <w:spacing w:after="0" w:line="240" w:lineRule="auto"/>
        <w:ind w:left="142" w:right="-471" w:hanging="568"/>
        <w:rPr>
          <w:rFonts w:ascii="Arial" w:hAnsi="Arial" w:cs="Arial"/>
          <w:b/>
          <w:sz w:val="24"/>
          <w:szCs w:val="24"/>
        </w:rPr>
      </w:pPr>
      <w:r w:rsidRPr="00AA0ABE">
        <w:rPr>
          <w:rFonts w:ascii="Arial" w:hAnsi="Arial" w:cs="Arial"/>
          <w:b/>
          <w:sz w:val="24"/>
          <w:szCs w:val="24"/>
        </w:rPr>
        <w:t>Recommendations</w:t>
      </w:r>
    </w:p>
    <w:p w14:paraId="3C4FACBF" w14:textId="61F6B45D" w:rsidR="008E2D82" w:rsidRPr="00D73F4E" w:rsidRDefault="00D73F4E" w:rsidP="008E2D82">
      <w:pPr>
        <w:pStyle w:val="ListParagraph"/>
        <w:numPr>
          <w:ilvl w:val="1"/>
          <w:numId w:val="2"/>
        </w:numPr>
        <w:spacing w:after="0" w:line="240" w:lineRule="auto"/>
        <w:ind w:left="142" w:right="-471" w:hanging="568"/>
        <w:rPr>
          <w:rFonts w:ascii="Arial" w:hAnsi="Arial" w:cs="Arial"/>
          <w:sz w:val="24"/>
          <w:szCs w:val="24"/>
        </w:rPr>
      </w:pPr>
      <w:r w:rsidRPr="00D73F4E">
        <w:rPr>
          <w:rFonts w:ascii="Arial" w:hAnsi="Arial" w:cs="Arial"/>
          <w:sz w:val="24"/>
          <w:szCs w:val="24"/>
        </w:rPr>
        <w:t>The committee is asked to note the final draft quality account.</w:t>
      </w:r>
    </w:p>
    <w:p w14:paraId="54FAD593" w14:textId="77777777" w:rsidR="008E2D82" w:rsidRPr="00506FB8" w:rsidRDefault="008E2D82" w:rsidP="008E2D82">
      <w:pPr>
        <w:pStyle w:val="ListParagraph"/>
        <w:spacing w:after="0" w:line="240" w:lineRule="auto"/>
        <w:rPr>
          <w:rFonts w:ascii="Arial" w:hAnsi="Arial" w:cs="Arial"/>
          <w:bCs/>
        </w:rPr>
      </w:pPr>
    </w:p>
    <w:p w14:paraId="6ED44F57" w14:textId="278C4252" w:rsidR="00E12CE3" w:rsidRPr="00C567A0" w:rsidRDefault="00D2334A" w:rsidP="008E2D82">
      <w:pPr>
        <w:ind w:left="-425" w:right="-471"/>
        <w:rPr>
          <w:rFonts w:ascii="Arial" w:hAnsi="Arial" w:cs="Arial"/>
          <w:b/>
        </w:rPr>
      </w:pPr>
      <w:r w:rsidRPr="00C567A0">
        <w:rPr>
          <w:rFonts w:ascii="Arial" w:hAnsi="Arial" w:cs="Arial"/>
          <w:b/>
        </w:rPr>
        <w:t>Author</w:t>
      </w:r>
      <w:r>
        <w:rPr>
          <w:rFonts w:ascii="Arial" w:hAnsi="Arial" w:cs="Arial"/>
          <w:b/>
        </w:rPr>
        <w:t xml:space="preserve"> </w:t>
      </w:r>
      <w:r>
        <w:rPr>
          <w:rFonts w:ascii="Arial" w:hAnsi="Arial" w:cs="Arial"/>
          <w:b/>
        </w:rPr>
        <w:tab/>
        <w:t>Clementine Burbidge, compliance and assurance improvement lead</w:t>
      </w:r>
    </w:p>
    <w:p w14:paraId="65D0C0C4" w14:textId="45E6A62A" w:rsidR="00904EAB" w:rsidRDefault="00D2334A" w:rsidP="00904EAB">
      <w:pPr>
        <w:ind w:left="-425" w:right="-471"/>
        <w:rPr>
          <w:rFonts w:ascii="Arial" w:hAnsi="Arial" w:cs="Arial"/>
        </w:rPr>
      </w:pPr>
      <w:r>
        <w:rPr>
          <w:rFonts w:ascii="Arial" w:hAnsi="Arial" w:cs="Arial"/>
        </w:rPr>
        <w:t>Date</w:t>
      </w:r>
      <w:r>
        <w:rPr>
          <w:rFonts w:ascii="Arial" w:hAnsi="Arial" w:cs="Arial"/>
        </w:rPr>
        <w:tab/>
      </w:r>
      <w:r w:rsidR="00D73F4E">
        <w:rPr>
          <w:rFonts w:ascii="Arial" w:hAnsi="Arial" w:cs="Arial"/>
        </w:rPr>
        <w:t>28</w:t>
      </w:r>
      <w:r w:rsidR="009428D0">
        <w:rPr>
          <w:rFonts w:ascii="Arial" w:hAnsi="Arial" w:cs="Arial"/>
        </w:rPr>
        <w:t xml:space="preserve"> May</w:t>
      </w:r>
      <w:r>
        <w:rPr>
          <w:rFonts w:ascii="Arial" w:hAnsi="Arial" w:cs="Arial"/>
        </w:rPr>
        <w:t xml:space="preserve"> 2019</w:t>
      </w:r>
    </w:p>
    <w:p w14:paraId="10675FCC" w14:textId="77777777" w:rsidR="00904EAB" w:rsidRDefault="00904EAB" w:rsidP="00904EAB">
      <w:pPr>
        <w:ind w:left="-425" w:right="-471"/>
        <w:rPr>
          <w:rFonts w:ascii="Arial" w:hAnsi="Arial" w:cs="Arial"/>
        </w:rPr>
      </w:pPr>
    </w:p>
    <w:p w14:paraId="2ACED3FA" w14:textId="2D3E24B0" w:rsidR="00565CC8" w:rsidRPr="008E2D82" w:rsidRDefault="00904EAB" w:rsidP="008E2D82">
      <w:pPr>
        <w:ind w:left="-425" w:right="-471"/>
        <w:rPr>
          <w:rFonts w:ascii="Arial" w:hAnsi="Arial" w:cs="Arial"/>
          <w:b/>
        </w:rPr>
      </w:pPr>
      <w:r w:rsidRPr="00904EAB">
        <w:rPr>
          <w:rFonts w:ascii="Arial" w:hAnsi="Arial" w:cs="Arial"/>
          <w:b/>
        </w:rPr>
        <w:t>Appendix 1 – Final draft Quality Account 2018/19</w:t>
      </w:r>
      <w:bookmarkStart w:id="3" w:name="_GoBack"/>
      <w:bookmarkEnd w:id="3"/>
    </w:p>
    <w:sectPr w:rsidR="00565CC8" w:rsidRPr="008E2D82" w:rsidSect="00824C0E">
      <w:footerReference w:type="default" r:id="rId9"/>
      <w:pgSz w:w="11906" w:h="16838"/>
      <w:pgMar w:top="709" w:right="849"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4B3CB" w16cid:durableId="2021B7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4266" w14:textId="77777777" w:rsidR="00CB1111" w:rsidRDefault="00CB1111" w:rsidP="00987E5D">
      <w:r>
        <w:separator/>
      </w:r>
    </w:p>
  </w:endnote>
  <w:endnote w:type="continuationSeparator" w:id="0">
    <w:p w14:paraId="79240E9A" w14:textId="77777777" w:rsidR="00CB1111" w:rsidRDefault="00CB1111" w:rsidP="0098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49435"/>
      <w:docPartObj>
        <w:docPartGallery w:val="Page Numbers (Bottom of Page)"/>
        <w:docPartUnique/>
      </w:docPartObj>
    </w:sdtPr>
    <w:sdtEndPr/>
    <w:sdtContent>
      <w:sdt>
        <w:sdtPr>
          <w:id w:val="860082579"/>
          <w:docPartObj>
            <w:docPartGallery w:val="Page Numbers (Top of Page)"/>
            <w:docPartUnique/>
          </w:docPartObj>
        </w:sdtPr>
        <w:sdtEndPr/>
        <w:sdtContent>
          <w:p w14:paraId="27A46A45" w14:textId="42490228" w:rsidR="00CB1111" w:rsidRDefault="00CB1111">
            <w:pPr>
              <w:pStyle w:val="Footer"/>
              <w:jc w:val="right"/>
            </w:pPr>
            <w:r w:rsidRPr="005724BB">
              <w:rPr>
                <w:rFonts w:ascii="Arial" w:hAnsi="Arial" w:cs="Arial"/>
                <w:sz w:val="16"/>
                <w:szCs w:val="16"/>
              </w:rPr>
              <w:t xml:space="preserve">Page </w:t>
            </w:r>
            <w:r w:rsidRPr="005724BB">
              <w:rPr>
                <w:rFonts w:ascii="Arial" w:hAnsi="Arial" w:cs="Arial"/>
                <w:b/>
                <w:bCs/>
                <w:sz w:val="16"/>
                <w:szCs w:val="16"/>
              </w:rPr>
              <w:fldChar w:fldCharType="begin"/>
            </w:r>
            <w:r w:rsidRPr="005724BB">
              <w:rPr>
                <w:rFonts w:ascii="Arial" w:hAnsi="Arial" w:cs="Arial"/>
                <w:b/>
                <w:bCs/>
                <w:sz w:val="16"/>
                <w:szCs w:val="16"/>
              </w:rPr>
              <w:instrText xml:space="preserve"> PAGE </w:instrText>
            </w:r>
            <w:r w:rsidRPr="005724BB">
              <w:rPr>
                <w:rFonts w:ascii="Arial" w:hAnsi="Arial" w:cs="Arial"/>
                <w:b/>
                <w:bCs/>
                <w:sz w:val="16"/>
                <w:szCs w:val="16"/>
              </w:rPr>
              <w:fldChar w:fldCharType="separate"/>
            </w:r>
            <w:r w:rsidR="005C31A9">
              <w:rPr>
                <w:rFonts w:ascii="Arial" w:hAnsi="Arial" w:cs="Arial"/>
                <w:b/>
                <w:bCs/>
                <w:noProof/>
                <w:sz w:val="16"/>
                <w:szCs w:val="16"/>
              </w:rPr>
              <w:t>1</w:t>
            </w:r>
            <w:r w:rsidRPr="005724BB">
              <w:rPr>
                <w:rFonts w:ascii="Arial" w:hAnsi="Arial" w:cs="Arial"/>
                <w:b/>
                <w:bCs/>
                <w:sz w:val="16"/>
                <w:szCs w:val="16"/>
              </w:rPr>
              <w:fldChar w:fldCharType="end"/>
            </w:r>
            <w:r w:rsidRPr="005724BB">
              <w:rPr>
                <w:rFonts w:ascii="Arial" w:hAnsi="Arial" w:cs="Arial"/>
                <w:sz w:val="16"/>
                <w:szCs w:val="16"/>
              </w:rPr>
              <w:t xml:space="preserve"> of </w:t>
            </w:r>
            <w:r w:rsidRPr="005724BB">
              <w:rPr>
                <w:rFonts w:ascii="Arial" w:hAnsi="Arial" w:cs="Arial"/>
                <w:b/>
                <w:bCs/>
                <w:sz w:val="16"/>
                <w:szCs w:val="16"/>
              </w:rPr>
              <w:fldChar w:fldCharType="begin"/>
            </w:r>
            <w:r w:rsidRPr="005724BB">
              <w:rPr>
                <w:rFonts w:ascii="Arial" w:hAnsi="Arial" w:cs="Arial"/>
                <w:b/>
                <w:bCs/>
                <w:sz w:val="16"/>
                <w:szCs w:val="16"/>
              </w:rPr>
              <w:instrText xml:space="preserve"> NUMPAGES  </w:instrText>
            </w:r>
            <w:r w:rsidRPr="005724BB">
              <w:rPr>
                <w:rFonts w:ascii="Arial" w:hAnsi="Arial" w:cs="Arial"/>
                <w:b/>
                <w:bCs/>
                <w:sz w:val="16"/>
                <w:szCs w:val="16"/>
              </w:rPr>
              <w:fldChar w:fldCharType="separate"/>
            </w:r>
            <w:r w:rsidR="005C31A9">
              <w:rPr>
                <w:rFonts w:ascii="Arial" w:hAnsi="Arial" w:cs="Arial"/>
                <w:b/>
                <w:bCs/>
                <w:noProof/>
                <w:sz w:val="16"/>
                <w:szCs w:val="16"/>
              </w:rPr>
              <w:t>3</w:t>
            </w:r>
            <w:r w:rsidRPr="005724BB">
              <w:rPr>
                <w:rFonts w:ascii="Arial" w:hAnsi="Arial" w:cs="Arial"/>
                <w:b/>
                <w:bCs/>
                <w:sz w:val="16"/>
                <w:szCs w:val="16"/>
              </w:rPr>
              <w:fldChar w:fldCharType="end"/>
            </w:r>
          </w:p>
        </w:sdtContent>
      </w:sdt>
    </w:sdtContent>
  </w:sdt>
  <w:p w14:paraId="698DAAD0" w14:textId="77777777" w:rsidR="00CB1111" w:rsidRDefault="00CB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FE6B" w14:textId="77777777" w:rsidR="00CB1111" w:rsidRDefault="00CB1111" w:rsidP="00987E5D">
      <w:r>
        <w:separator/>
      </w:r>
    </w:p>
  </w:footnote>
  <w:footnote w:type="continuationSeparator" w:id="0">
    <w:p w14:paraId="21D715D9" w14:textId="77777777" w:rsidR="00CB1111" w:rsidRDefault="00CB1111" w:rsidP="0098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A1D"/>
    <w:multiLevelType w:val="hybridMultilevel"/>
    <w:tmpl w:val="1ECE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158B"/>
    <w:multiLevelType w:val="multilevel"/>
    <w:tmpl w:val="7A36EA74"/>
    <w:lvl w:ilvl="0">
      <w:start w:val="4"/>
      <w:numFmt w:val="decimal"/>
      <w:lvlText w:val="%1"/>
      <w:lvlJc w:val="left"/>
      <w:pPr>
        <w:ind w:left="360" w:hanging="360"/>
      </w:pPr>
      <w:rPr>
        <w:rFonts w:hint="default"/>
        <w:b w:val="0"/>
      </w:rPr>
    </w:lvl>
    <w:lvl w:ilvl="1">
      <w:start w:val="1"/>
      <w:numFmt w:val="decimal"/>
      <w:lvlText w:val="%1.%2"/>
      <w:lvlJc w:val="left"/>
      <w:pPr>
        <w:ind w:left="-66" w:hanging="360"/>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198" w:hanging="108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690" w:hanging="144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182" w:hanging="1800"/>
      </w:pPr>
      <w:rPr>
        <w:rFonts w:hint="default"/>
        <w:b w:val="0"/>
      </w:rPr>
    </w:lvl>
    <w:lvl w:ilvl="8">
      <w:start w:val="1"/>
      <w:numFmt w:val="decimal"/>
      <w:lvlText w:val="%1.%2.%3.%4.%5.%6.%7.%8.%9"/>
      <w:lvlJc w:val="left"/>
      <w:pPr>
        <w:ind w:left="-1608" w:hanging="1800"/>
      </w:pPr>
      <w:rPr>
        <w:rFonts w:hint="default"/>
        <w:b w:val="0"/>
      </w:rPr>
    </w:lvl>
  </w:abstractNum>
  <w:abstractNum w:abstractNumId="2" w15:restartNumberingAfterBreak="0">
    <w:nsid w:val="18400438"/>
    <w:multiLevelType w:val="multilevel"/>
    <w:tmpl w:val="C68EE988"/>
    <w:lvl w:ilvl="0">
      <w:start w:val="1"/>
      <w:numFmt w:val="decimal"/>
      <w:lvlText w:val="%1."/>
      <w:lvlJc w:val="left"/>
      <w:pPr>
        <w:ind w:left="360" w:hanging="360"/>
      </w:pPr>
    </w:lvl>
    <w:lvl w:ilvl="1">
      <w:start w:val="1"/>
      <w:numFmt w:val="decimal"/>
      <w:lvlText w:val="%1.%2."/>
      <w:lvlJc w:val="left"/>
      <w:pPr>
        <w:ind w:left="808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2C38BD"/>
    <w:multiLevelType w:val="hybridMultilevel"/>
    <w:tmpl w:val="D8CA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B205D"/>
    <w:multiLevelType w:val="hybridMultilevel"/>
    <w:tmpl w:val="A3FEB4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D366772"/>
    <w:multiLevelType w:val="hybridMultilevel"/>
    <w:tmpl w:val="8E3ABA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7C43F56"/>
    <w:multiLevelType w:val="hybridMultilevel"/>
    <w:tmpl w:val="1AA4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B1E6C"/>
    <w:multiLevelType w:val="multilevel"/>
    <w:tmpl w:val="C68EE988"/>
    <w:lvl w:ilvl="0">
      <w:start w:val="1"/>
      <w:numFmt w:val="decimal"/>
      <w:lvlText w:val="%1."/>
      <w:lvlJc w:val="left"/>
      <w:pPr>
        <w:ind w:left="360" w:hanging="360"/>
      </w:pPr>
    </w:lvl>
    <w:lvl w:ilvl="1">
      <w:start w:val="1"/>
      <w:numFmt w:val="decimal"/>
      <w:lvlText w:val="%1.%2."/>
      <w:lvlJc w:val="left"/>
      <w:pPr>
        <w:ind w:left="808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B5994"/>
    <w:multiLevelType w:val="hybridMultilevel"/>
    <w:tmpl w:val="8C5C2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415FB0"/>
    <w:multiLevelType w:val="hybridMultilevel"/>
    <w:tmpl w:val="7100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750E7"/>
    <w:multiLevelType w:val="hybridMultilevel"/>
    <w:tmpl w:val="D79E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04900"/>
    <w:multiLevelType w:val="hybridMultilevel"/>
    <w:tmpl w:val="675C974A"/>
    <w:lvl w:ilvl="0" w:tplc="A814A5C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0F0CB9"/>
    <w:multiLevelType w:val="hybridMultilevel"/>
    <w:tmpl w:val="7D9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D405C"/>
    <w:multiLevelType w:val="hybridMultilevel"/>
    <w:tmpl w:val="83B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E32B6"/>
    <w:multiLevelType w:val="hybridMultilevel"/>
    <w:tmpl w:val="526678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EFE21E7"/>
    <w:multiLevelType w:val="multilevel"/>
    <w:tmpl w:val="C68EE988"/>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B91EB8"/>
    <w:multiLevelType w:val="multilevel"/>
    <w:tmpl w:val="49AE18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1B3B45"/>
    <w:multiLevelType w:val="multilevel"/>
    <w:tmpl w:val="00482084"/>
    <w:lvl w:ilvl="0">
      <w:start w:val="1"/>
      <w:numFmt w:val="bullet"/>
      <w:lvlText w:val=""/>
      <w:lvlJc w:val="left"/>
      <w:pPr>
        <w:ind w:left="360" w:hanging="360"/>
      </w:pPr>
      <w:rPr>
        <w:rFonts w:ascii="Symbol" w:hAnsi="Symbol" w:hint="default"/>
      </w:rPr>
    </w:lvl>
    <w:lvl w:ilvl="1">
      <w:start w:val="1"/>
      <w:numFmt w:val="decimal"/>
      <w:lvlText w:val="%1.%2."/>
      <w:lvlJc w:val="left"/>
      <w:pPr>
        <w:ind w:left="808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D34388"/>
    <w:multiLevelType w:val="multilevel"/>
    <w:tmpl w:val="ABC09452"/>
    <w:lvl w:ilvl="0">
      <w:start w:val="1"/>
      <w:numFmt w:val="decimal"/>
      <w:lvlText w:val="%1."/>
      <w:lvlJc w:val="left"/>
      <w:pPr>
        <w:tabs>
          <w:tab w:val="num" w:pos="360"/>
        </w:tabs>
        <w:ind w:left="360" w:hanging="360"/>
      </w:pPr>
      <w:rPr>
        <w:b/>
      </w:rPr>
    </w:lvl>
    <w:lvl w:ilvl="1">
      <w:start w:val="1"/>
      <w:numFmt w:val="decimal"/>
      <w:lvlText w:val="%1.%2."/>
      <w:lvlJc w:val="left"/>
      <w:pPr>
        <w:tabs>
          <w:tab w:val="num" w:pos="522"/>
        </w:tabs>
        <w:ind w:left="52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AC275CD"/>
    <w:multiLevelType w:val="hybridMultilevel"/>
    <w:tmpl w:val="29C0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8C15DB"/>
    <w:multiLevelType w:val="hybridMultilevel"/>
    <w:tmpl w:val="519C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57CE9"/>
    <w:multiLevelType w:val="hybridMultilevel"/>
    <w:tmpl w:val="7F5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66A26"/>
    <w:multiLevelType w:val="hybridMultilevel"/>
    <w:tmpl w:val="BCFE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1"/>
  </w:num>
  <w:num w:numId="5">
    <w:abstractNumId w:val="0"/>
  </w:num>
  <w:num w:numId="6">
    <w:abstractNumId w:val="9"/>
  </w:num>
  <w:num w:numId="7">
    <w:abstractNumId w:val="10"/>
  </w:num>
  <w:num w:numId="8">
    <w:abstractNumId w:val="1"/>
  </w:num>
  <w:num w:numId="9">
    <w:abstractNumId w:val="21"/>
  </w:num>
  <w:num w:numId="10">
    <w:abstractNumId w:val="14"/>
  </w:num>
  <w:num w:numId="11">
    <w:abstractNumId w:val="19"/>
  </w:num>
  <w:num w:numId="12">
    <w:abstractNumId w:val="13"/>
  </w:num>
  <w:num w:numId="13">
    <w:abstractNumId w:val="20"/>
  </w:num>
  <w:num w:numId="14">
    <w:abstractNumId w:val="6"/>
  </w:num>
  <w:num w:numId="15">
    <w:abstractNumId w:val="3"/>
  </w:num>
  <w:num w:numId="16">
    <w:abstractNumId w:val="5"/>
  </w:num>
  <w:num w:numId="17">
    <w:abstractNumId w:val="4"/>
  </w:num>
  <w:num w:numId="18">
    <w:abstractNumId w:val="7"/>
  </w:num>
  <w:num w:numId="19">
    <w:abstractNumId w:val="17"/>
  </w:num>
  <w:num w:numId="20">
    <w:abstractNumId w:val="2"/>
  </w:num>
  <w:num w:numId="21">
    <w:abstractNumId w:val="16"/>
  </w:num>
  <w:num w:numId="22">
    <w:abstractNumId w:val="22"/>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93"/>
    <w:rsid w:val="0000632F"/>
    <w:rsid w:val="00010E5C"/>
    <w:rsid w:val="00014613"/>
    <w:rsid w:val="000159F5"/>
    <w:rsid w:val="00021E7A"/>
    <w:rsid w:val="00022E3E"/>
    <w:rsid w:val="000235FF"/>
    <w:rsid w:val="00045973"/>
    <w:rsid w:val="00051576"/>
    <w:rsid w:val="000575F6"/>
    <w:rsid w:val="00064510"/>
    <w:rsid w:val="0006561A"/>
    <w:rsid w:val="000660EA"/>
    <w:rsid w:val="0009297C"/>
    <w:rsid w:val="0009624D"/>
    <w:rsid w:val="0009792A"/>
    <w:rsid w:val="000B0101"/>
    <w:rsid w:val="000C3780"/>
    <w:rsid w:val="000C7D8A"/>
    <w:rsid w:val="000D030E"/>
    <w:rsid w:val="000D212A"/>
    <w:rsid w:val="000D636F"/>
    <w:rsid w:val="000E0E97"/>
    <w:rsid w:val="000E7A64"/>
    <w:rsid w:val="000F3422"/>
    <w:rsid w:val="0010596B"/>
    <w:rsid w:val="00110977"/>
    <w:rsid w:val="001119A6"/>
    <w:rsid w:val="00116F62"/>
    <w:rsid w:val="00120940"/>
    <w:rsid w:val="001306F8"/>
    <w:rsid w:val="00134490"/>
    <w:rsid w:val="00135F35"/>
    <w:rsid w:val="00137AED"/>
    <w:rsid w:val="001414AB"/>
    <w:rsid w:val="00142BB1"/>
    <w:rsid w:val="001460BE"/>
    <w:rsid w:val="001470F2"/>
    <w:rsid w:val="001541C5"/>
    <w:rsid w:val="0017184C"/>
    <w:rsid w:val="00177274"/>
    <w:rsid w:val="00183DB1"/>
    <w:rsid w:val="00192279"/>
    <w:rsid w:val="0019375A"/>
    <w:rsid w:val="001953FB"/>
    <w:rsid w:val="001A1C6B"/>
    <w:rsid w:val="001A512B"/>
    <w:rsid w:val="001B5A76"/>
    <w:rsid w:val="001C5E9D"/>
    <w:rsid w:val="001C7554"/>
    <w:rsid w:val="001D0E36"/>
    <w:rsid w:val="001D648A"/>
    <w:rsid w:val="001F2E2B"/>
    <w:rsid w:val="001F6022"/>
    <w:rsid w:val="001F7086"/>
    <w:rsid w:val="00201CA7"/>
    <w:rsid w:val="00203F33"/>
    <w:rsid w:val="00214A9A"/>
    <w:rsid w:val="00215F2E"/>
    <w:rsid w:val="00216042"/>
    <w:rsid w:val="00226B11"/>
    <w:rsid w:val="0024135F"/>
    <w:rsid w:val="0024617C"/>
    <w:rsid w:val="00246CF5"/>
    <w:rsid w:val="00251BBE"/>
    <w:rsid w:val="00254D49"/>
    <w:rsid w:val="00261D4D"/>
    <w:rsid w:val="002715E5"/>
    <w:rsid w:val="00277F66"/>
    <w:rsid w:val="002827C0"/>
    <w:rsid w:val="002833FE"/>
    <w:rsid w:val="00285A64"/>
    <w:rsid w:val="00285AF1"/>
    <w:rsid w:val="00286FC5"/>
    <w:rsid w:val="002A13A3"/>
    <w:rsid w:val="002A4951"/>
    <w:rsid w:val="002A7E43"/>
    <w:rsid w:val="002B4A92"/>
    <w:rsid w:val="002B6EF5"/>
    <w:rsid w:val="002C27C1"/>
    <w:rsid w:val="002C3A46"/>
    <w:rsid w:val="002C556F"/>
    <w:rsid w:val="002D14A4"/>
    <w:rsid w:val="002E5255"/>
    <w:rsid w:val="002F09DF"/>
    <w:rsid w:val="00327A8C"/>
    <w:rsid w:val="0033126D"/>
    <w:rsid w:val="00336AD8"/>
    <w:rsid w:val="003419C6"/>
    <w:rsid w:val="00367F56"/>
    <w:rsid w:val="00372290"/>
    <w:rsid w:val="00386890"/>
    <w:rsid w:val="00386BF8"/>
    <w:rsid w:val="003873BA"/>
    <w:rsid w:val="003A4E32"/>
    <w:rsid w:val="003B621B"/>
    <w:rsid w:val="003B68C4"/>
    <w:rsid w:val="003C16B0"/>
    <w:rsid w:val="003C6711"/>
    <w:rsid w:val="003C71DF"/>
    <w:rsid w:val="003D04B2"/>
    <w:rsid w:val="003D502F"/>
    <w:rsid w:val="003D7E93"/>
    <w:rsid w:val="003E7743"/>
    <w:rsid w:val="003F09AC"/>
    <w:rsid w:val="003F43B2"/>
    <w:rsid w:val="003F7A95"/>
    <w:rsid w:val="00414CEE"/>
    <w:rsid w:val="00416E2C"/>
    <w:rsid w:val="00421480"/>
    <w:rsid w:val="00424AAC"/>
    <w:rsid w:val="00425068"/>
    <w:rsid w:val="0042512C"/>
    <w:rsid w:val="00431D8F"/>
    <w:rsid w:val="00434765"/>
    <w:rsid w:val="004349E7"/>
    <w:rsid w:val="0044328B"/>
    <w:rsid w:val="0047034C"/>
    <w:rsid w:val="0047437C"/>
    <w:rsid w:val="00474816"/>
    <w:rsid w:val="00483937"/>
    <w:rsid w:val="00490338"/>
    <w:rsid w:val="004A12A5"/>
    <w:rsid w:val="004B3770"/>
    <w:rsid w:val="004B5E58"/>
    <w:rsid w:val="004C6614"/>
    <w:rsid w:val="004C77EC"/>
    <w:rsid w:val="004D59C8"/>
    <w:rsid w:val="004E02E1"/>
    <w:rsid w:val="004E4622"/>
    <w:rsid w:val="004E4ABA"/>
    <w:rsid w:val="004F7EC0"/>
    <w:rsid w:val="005023B6"/>
    <w:rsid w:val="00506FB8"/>
    <w:rsid w:val="005073F9"/>
    <w:rsid w:val="00510512"/>
    <w:rsid w:val="00512468"/>
    <w:rsid w:val="0051424E"/>
    <w:rsid w:val="00520429"/>
    <w:rsid w:val="005460AF"/>
    <w:rsid w:val="00552F25"/>
    <w:rsid w:val="005538ED"/>
    <w:rsid w:val="00565CC8"/>
    <w:rsid w:val="005674D6"/>
    <w:rsid w:val="005676E7"/>
    <w:rsid w:val="005724BB"/>
    <w:rsid w:val="00587FF4"/>
    <w:rsid w:val="0059041C"/>
    <w:rsid w:val="00596EDD"/>
    <w:rsid w:val="005A3DB0"/>
    <w:rsid w:val="005A40A4"/>
    <w:rsid w:val="005B1AAB"/>
    <w:rsid w:val="005B34DF"/>
    <w:rsid w:val="005B63FC"/>
    <w:rsid w:val="005C31A9"/>
    <w:rsid w:val="005E1479"/>
    <w:rsid w:val="005E58BE"/>
    <w:rsid w:val="005E6926"/>
    <w:rsid w:val="005F01F1"/>
    <w:rsid w:val="005F18C5"/>
    <w:rsid w:val="005F57CE"/>
    <w:rsid w:val="005F58EF"/>
    <w:rsid w:val="00603C97"/>
    <w:rsid w:val="00615335"/>
    <w:rsid w:val="00617627"/>
    <w:rsid w:val="006210EA"/>
    <w:rsid w:val="006221D0"/>
    <w:rsid w:val="00626976"/>
    <w:rsid w:val="00631965"/>
    <w:rsid w:val="00635D56"/>
    <w:rsid w:val="0063670C"/>
    <w:rsid w:val="006462E6"/>
    <w:rsid w:val="0066050E"/>
    <w:rsid w:val="00665660"/>
    <w:rsid w:val="00673491"/>
    <w:rsid w:val="006923AC"/>
    <w:rsid w:val="006A482D"/>
    <w:rsid w:val="006A6541"/>
    <w:rsid w:val="006B0429"/>
    <w:rsid w:val="006B1997"/>
    <w:rsid w:val="006B1A0C"/>
    <w:rsid w:val="006B7CDD"/>
    <w:rsid w:val="006C3B4E"/>
    <w:rsid w:val="006C454E"/>
    <w:rsid w:val="006E030F"/>
    <w:rsid w:val="006E07B6"/>
    <w:rsid w:val="006E7B41"/>
    <w:rsid w:val="006F33E4"/>
    <w:rsid w:val="006F757E"/>
    <w:rsid w:val="00711693"/>
    <w:rsid w:val="00715B94"/>
    <w:rsid w:val="00722B34"/>
    <w:rsid w:val="00724DCC"/>
    <w:rsid w:val="007315B9"/>
    <w:rsid w:val="00732409"/>
    <w:rsid w:val="0074114F"/>
    <w:rsid w:val="00750B3E"/>
    <w:rsid w:val="00752CC0"/>
    <w:rsid w:val="00755A1E"/>
    <w:rsid w:val="007610C2"/>
    <w:rsid w:val="00765573"/>
    <w:rsid w:val="00781098"/>
    <w:rsid w:val="007811C9"/>
    <w:rsid w:val="007857DD"/>
    <w:rsid w:val="00795CF5"/>
    <w:rsid w:val="007C13EF"/>
    <w:rsid w:val="007D176B"/>
    <w:rsid w:val="007D1B31"/>
    <w:rsid w:val="007D7688"/>
    <w:rsid w:val="007D76CB"/>
    <w:rsid w:val="007E3480"/>
    <w:rsid w:val="007E741E"/>
    <w:rsid w:val="007E7B99"/>
    <w:rsid w:val="007F13DC"/>
    <w:rsid w:val="007F1580"/>
    <w:rsid w:val="007F168C"/>
    <w:rsid w:val="007F3C7C"/>
    <w:rsid w:val="007F5662"/>
    <w:rsid w:val="00800275"/>
    <w:rsid w:val="00805EC5"/>
    <w:rsid w:val="00807CE0"/>
    <w:rsid w:val="008148AF"/>
    <w:rsid w:val="0081518E"/>
    <w:rsid w:val="00815885"/>
    <w:rsid w:val="008165E6"/>
    <w:rsid w:val="008203DC"/>
    <w:rsid w:val="008228BB"/>
    <w:rsid w:val="008249CA"/>
    <w:rsid w:val="00824C0E"/>
    <w:rsid w:val="008252F9"/>
    <w:rsid w:val="008446AC"/>
    <w:rsid w:val="00850C41"/>
    <w:rsid w:val="00853E5B"/>
    <w:rsid w:val="00867B69"/>
    <w:rsid w:val="008715FC"/>
    <w:rsid w:val="0087164F"/>
    <w:rsid w:val="00872082"/>
    <w:rsid w:val="0087540F"/>
    <w:rsid w:val="00880873"/>
    <w:rsid w:val="00893D7F"/>
    <w:rsid w:val="008A3B31"/>
    <w:rsid w:val="008B2172"/>
    <w:rsid w:val="008C3833"/>
    <w:rsid w:val="008E2D82"/>
    <w:rsid w:val="008E3531"/>
    <w:rsid w:val="008F588D"/>
    <w:rsid w:val="00902F86"/>
    <w:rsid w:val="009037F2"/>
    <w:rsid w:val="00904EAB"/>
    <w:rsid w:val="00920A1C"/>
    <w:rsid w:val="00933E3E"/>
    <w:rsid w:val="00940F53"/>
    <w:rsid w:val="009428D0"/>
    <w:rsid w:val="00950457"/>
    <w:rsid w:val="009506C0"/>
    <w:rsid w:val="00955D3F"/>
    <w:rsid w:val="00962EDC"/>
    <w:rsid w:val="00965D01"/>
    <w:rsid w:val="009736EB"/>
    <w:rsid w:val="00973ACD"/>
    <w:rsid w:val="00976288"/>
    <w:rsid w:val="0097749E"/>
    <w:rsid w:val="00982AF5"/>
    <w:rsid w:val="0098571A"/>
    <w:rsid w:val="00987E5D"/>
    <w:rsid w:val="009A0818"/>
    <w:rsid w:val="009A5DB0"/>
    <w:rsid w:val="009B5810"/>
    <w:rsid w:val="009C62E4"/>
    <w:rsid w:val="009D1182"/>
    <w:rsid w:val="009D13BB"/>
    <w:rsid w:val="009F1377"/>
    <w:rsid w:val="009F27F3"/>
    <w:rsid w:val="009F49FC"/>
    <w:rsid w:val="00A11239"/>
    <w:rsid w:val="00A13EE0"/>
    <w:rsid w:val="00A157DC"/>
    <w:rsid w:val="00A16BE4"/>
    <w:rsid w:val="00A174BB"/>
    <w:rsid w:val="00A176CE"/>
    <w:rsid w:val="00A24D38"/>
    <w:rsid w:val="00A42AE6"/>
    <w:rsid w:val="00A60819"/>
    <w:rsid w:val="00A62C57"/>
    <w:rsid w:val="00A71A00"/>
    <w:rsid w:val="00A849B4"/>
    <w:rsid w:val="00A85094"/>
    <w:rsid w:val="00A86B11"/>
    <w:rsid w:val="00AA0ABE"/>
    <w:rsid w:val="00AA75F2"/>
    <w:rsid w:val="00AC5368"/>
    <w:rsid w:val="00AD22D1"/>
    <w:rsid w:val="00AD2E4F"/>
    <w:rsid w:val="00AE5101"/>
    <w:rsid w:val="00AF22A9"/>
    <w:rsid w:val="00AF6A7E"/>
    <w:rsid w:val="00B21671"/>
    <w:rsid w:val="00B2271F"/>
    <w:rsid w:val="00B30DFD"/>
    <w:rsid w:val="00B3238C"/>
    <w:rsid w:val="00B360A7"/>
    <w:rsid w:val="00B37BAC"/>
    <w:rsid w:val="00B42069"/>
    <w:rsid w:val="00B4543E"/>
    <w:rsid w:val="00B53E39"/>
    <w:rsid w:val="00B81A34"/>
    <w:rsid w:val="00B93597"/>
    <w:rsid w:val="00B94D3A"/>
    <w:rsid w:val="00BA2FBB"/>
    <w:rsid w:val="00BA33D5"/>
    <w:rsid w:val="00BA4A73"/>
    <w:rsid w:val="00BA4F0C"/>
    <w:rsid w:val="00BA5CC3"/>
    <w:rsid w:val="00BD47C8"/>
    <w:rsid w:val="00BD62B4"/>
    <w:rsid w:val="00BD77AC"/>
    <w:rsid w:val="00BE44F8"/>
    <w:rsid w:val="00BE618D"/>
    <w:rsid w:val="00BE7F24"/>
    <w:rsid w:val="00C00EC5"/>
    <w:rsid w:val="00C053BD"/>
    <w:rsid w:val="00C10070"/>
    <w:rsid w:val="00C158DE"/>
    <w:rsid w:val="00C16571"/>
    <w:rsid w:val="00C261F3"/>
    <w:rsid w:val="00C30398"/>
    <w:rsid w:val="00C47126"/>
    <w:rsid w:val="00C5380F"/>
    <w:rsid w:val="00C53A91"/>
    <w:rsid w:val="00C77D96"/>
    <w:rsid w:val="00CB1111"/>
    <w:rsid w:val="00CC254C"/>
    <w:rsid w:val="00CC5C44"/>
    <w:rsid w:val="00CD11BC"/>
    <w:rsid w:val="00CD71DE"/>
    <w:rsid w:val="00CD74B4"/>
    <w:rsid w:val="00CF4F40"/>
    <w:rsid w:val="00D039D4"/>
    <w:rsid w:val="00D03E56"/>
    <w:rsid w:val="00D04E22"/>
    <w:rsid w:val="00D051AA"/>
    <w:rsid w:val="00D06016"/>
    <w:rsid w:val="00D2015A"/>
    <w:rsid w:val="00D2334A"/>
    <w:rsid w:val="00D2576D"/>
    <w:rsid w:val="00D31440"/>
    <w:rsid w:val="00D318E7"/>
    <w:rsid w:val="00D34A29"/>
    <w:rsid w:val="00D51081"/>
    <w:rsid w:val="00D52CC3"/>
    <w:rsid w:val="00D608E5"/>
    <w:rsid w:val="00D72918"/>
    <w:rsid w:val="00D73C8E"/>
    <w:rsid w:val="00D73F4E"/>
    <w:rsid w:val="00D74164"/>
    <w:rsid w:val="00D85529"/>
    <w:rsid w:val="00D87B8F"/>
    <w:rsid w:val="00D87D8C"/>
    <w:rsid w:val="00D91EE5"/>
    <w:rsid w:val="00D96ED0"/>
    <w:rsid w:val="00DA07FA"/>
    <w:rsid w:val="00DA7BB9"/>
    <w:rsid w:val="00DB7EBE"/>
    <w:rsid w:val="00DC19DE"/>
    <w:rsid w:val="00DC5A0E"/>
    <w:rsid w:val="00DE68DA"/>
    <w:rsid w:val="00DE69D9"/>
    <w:rsid w:val="00DE7D2F"/>
    <w:rsid w:val="00E058EA"/>
    <w:rsid w:val="00E06D31"/>
    <w:rsid w:val="00E12CE3"/>
    <w:rsid w:val="00E206F0"/>
    <w:rsid w:val="00E3028D"/>
    <w:rsid w:val="00E412C7"/>
    <w:rsid w:val="00E436D3"/>
    <w:rsid w:val="00E4421E"/>
    <w:rsid w:val="00E57C5B"/>
    <w:rsid w:val="00E60742"/>
    <w:rsid w:val="00E61D73"/>
    <w:rsid w:val="00E63D3C"/>
    <w:rsid w:val="00E84BE2"/>
    <w:rsid w:val="00E96D01"/>
    <w:rsid w:val="00EA071F"/>
    <w:rsid w:val="00EB146D"/>
    <w:rsid w:val="00EB4ACE"/>
    <w:rsid w:val="00EB6B99"/>
    <w:rsid w:val="00EC36DE"/>
    <w:rsid w:val="00EC4320"/>
    <w:rsid w:val="00ED5593"/>
    <w:rsid w:val="00EE38AD"/>
    <w:rsid w:val="00EF289E"/>
    <w:rsid w:val="00EF7D02"/>
    <w:rsid w:val="00F07C1C"/>
    <w:rsid w:val="00F10E33"/>
    <w:rsid w:val="00F14453"/>
    <w:rsid w:val="00F24AC5"/>
    <w:rsid w:val="00F26D45"/>
    <w:rsid w:val="00F3224D"/>
    <w:rsid w:val="00F35DE7"/>
    <w:rsid w:val="00F56818"/>
    <w:rsid w:val="00F63C09"/>
    <w:rsid w:val="00F67F2C"/>
    <w:rsid w:val="00F729D2"/>
    <w:rsid w:val="00F7719E"/>
    <w:rsid w:val="00F80F96"/>
    <w:rsid w:val="00F818D1"/>
    <w:rsid w:val="00F82CED"/>
    <w:rsid w:val="00F8534D"/>
    <w:rsid w:val="00F9409C"/>
    <w:rsid w:val="00FA252E"/>
    <w:rsid w:val="00FA7E37"/>
    <w:rsid w:val="00FD279E"/>
    <w:rsid w:val="00FD3357"/>
    <w:rsid w:val="00FE5EEA"/>
    <w:rsid w:val="00FE65C9"/>
    <w:rsid w:val="00FF1450"/>
    <w:rsid w:val="00FF68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26BA20"/>
  <w15:docId w15:val="{7692ECF5-DA57-4E88-83D4-E0C21D18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923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nhideWhenUsed/>
    <w:qFormat/>
    <w:rsid w:val="0001461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23B6"/>
    <w:pPr>
      <w:autoSpaceDE w:val="0"/>
      <w:autoSpaceDN w:val="0"/>
      <w:adjustRightInd w:val="0"/>
    </w:pPr>
    <w:rPr>
      <w:rFonts w:ascii="Arial" w:hAnsi="Arial" w:cs="Arial"/>
      <w:color w:val="000000"/>
      <w:sz w:val="24"/>
      <w:szCs w:val="24"/>
    </w:rPr>
  </w:style>
  <w:style w:type="paragraph" w:styleId="Header">
    <w:name w:val="header"/>
    <w:basedOn w:val="Normal"/>
    <w:link w:val="HeaderChar"/>
    <w:rsid w:val="00987E5D"/>
    <w:pPr>
      <w:tabs>
        <w:tab w:val="center" w:pos="4513"/>
        <w:tab w:val="right" w:pos="9026"/>
      </w:tabs>
    </w:pPr>
  </w:style>
  <w:style w:type="character" w:customStyle="1" w:styleId="HeaderChar">
    <w:name w:val="Header Char"/>
    <w:link w:val="Header"/>
    <w:rsid w:val="00987E5D"/>
    <w:rPr>
      <w:sz w:val="24"/>
      <w:szCs w:val="24"/>
    </w:rPr>
  </w:style>
  <w:style w:type="paragraph" w:styleId="Footer">
    <w:name w:val="footer"/>
    <w:basedOn w:val="Normal"/>
    <w:link w:val="FooterChar"/>
    <w:uiPriority w:val="99"/>
    <w:rsid w:val="00987E5D"/>
    <w:pPr>
      <w:tabs>
        <w:tab w:val="center" w:pos="4513"/>
        <w:tab w:val="right" w:pos="9026"/>
      </w:tabs>
    </w:pPr>
  </w:style>
  <w:style w:type="character" w:customStyle="1" w:styleId="FooterChar">
    <w:name w:val="Footer Char"/>
    <w:link w:val="Footer"/>
    <w:uiPriority w:val="99"/>
    <w:rsid w:val="00987E5D"/>
    <w:rPr>
      <w:sz w:val="24"/>
      <w:szCs w:val="24"/>
    </w:rPr>
  </w:style>
  <w:style w:type="paragraph" w:styleId="BalloonText">
    <w:name w:val="Balloon Text"/>
    <w:basedOn w:val="Normal"/>
    <w:link w:val="BalloonTextChar"/>
    <w:uiPriority w:val="99"/>
    <w:rsid w:val="000F3422"/>
    <w:rPr>
      <w:rFonts w:ascii="Tahoma" w:hAnsi="Tahoma" w:cs="Tahoma"/>
      <w:sz w:val="16"/>
      <w:szCs w:val="16"/>
    </w:rPr>
  </w:style>
  <w:style w:type="character" w:customStyle="1" w:styleId="BalloonTextChar">
    <w:name w:val="Balloon Text Char"/>
    <w:link w:val="BalloonText"/>
    <w:uiPriority w:val="99"/>
    <w:rsid w:val="000F3422"/>
    <w:rPr>
      <w:rFonts w:ascii="Tahoma" w:hAnsi="Tahoma" w:cs="Tahoma"/>
      <w:sz w:val="16"/>
      <w:szCs w:val="16"/>
    </w:rPr>
  </w:style>
  <w:style w:type="paragraph" w:styleId="ListParagraph">
    <w:name w:val="List Paragraph"/>
    <w:aliases w:val="Normal + indent,F5 List Paragraph,List Paragraph1,Dot pt,No Spacing1,List Paragraph Char Char Char,Indicator Text,Colorful List - Accent 11,Numbered Para 1,Bullet Points,MAIN CONTENT,List Paragraph12,Bullet Style,List Paragraph2,Bullet 1"/>
    <w:basedOn w:val="Normal"/>
    <w:link w:val="ListParagraphChar"/>
    <w:uiPriority w:val="34"/>
    <w:qFormat/>
    <w:rsid w:val="0063196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014613"/>
    <w:rPr>
      <w:rFonts w:ascii="Cambria" w:hAnsi="Cambria"/>
      <w:b/>
      <w:bCs/>
      <w:sz w:val="26"/>
      <w:szCs w:val="26"/>
    </w:rPr>
  </w:style>
  <w:style w:type="table" w:styleId="LightList-Accent1">
    <w:name w:val="Light List Accent 1"/>
    <w:basedOn w:val="TableNormal"/>
    <w:uiPriority w:val="61"/>
    <w:rsid w:val="00665660"/>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rsid w:val="00F07C1C"/>
    <w:rPr>
      <w:rFonts w:eastAsia="MS Mincho"/>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Points Char,Bullet 1 Char"/>
    <w:link w:val="ListParagraph"/>
    <w:uiPriority w:val="34"/>
    <w:rsid w:val="00BA2FB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6B0429"/>
    <w:rPr>
      <w:sz w:val="16"/>
      <w:szCs w:val="16"/>
    </w:rPr>
  </w:style>
  <w:style w:type="paragraph" w:styleId="CommentText">
    <w:name w:val="annotation text"/>
    <w:basedOn w:val="Normal"/>
    <w:link w:val="CommentTextChar"/>
    <w:uiPriority w:val="99"/>
    <w:unhideWhenUsed/>
    <w:rsid w:val="006B0429"/>
    <w:rPr>
      <w:rFonts w:ascii="Arial" w:eastAsia="MS Mincho" w:hAnsi="Arial"/>
      <w:sz w:val="20"/>
      <w:szCs w:val="20"/>
      <w:lang w:eastAsia="en-US"/>
    </w:rPr>
  </w:style>
  <w:style w:type="character" w:customStyle="1" w:styleId="CommentTextChar">
    <w:name w:val="Comment Text Char"/>
    <w:basedOn w:val="DefaultParagraphFont"/>
    <w:link w:val="CommentText"/>
    <w:uiPriority w:val="99"/>
    <w:rsid w:val="006B0429"/>
    <w:rPr>
      <w:rFonts w:ascii="Arial" w:eastAsia="MS Mincho" w:hAnsi="Arial"/>
      <w:lang w:eastAsia="en-US"/>
    </w:rPr>
  </w:style>
  <w:style w:type="paragraph" w:styleId="BodyText">
    <w:name w:val="Body Text"/>
    <w:basedOn w:val="Normal"/>
    <w:link w:val="BodyTextChar"/>
    <w:rsid w:val="00EA071F"/>
    <w:pPr>
      <w:jc w:val="both"/>
    </w:pPr>
    <w:rPr>
      <w:rFonts w:ascii="Arial" w:eastAsia="MS Mincho" w:hAnsi="Arial" w:cs="Arial"/>
      <w:lang w:eastAsia="en-US"/>
    </w:rPr>
  </w:style>
  <w:style w:type="character" w:customStyle="1" w:styleId="BodyTextChar">
    <w:name w:val="Body Text Char"/>
    <w:basedOn w:val="DefaultParagraphFont"/>
    <w:link w:val="BodyText"/>
    <w:rsid w:val="00EA071F"/>
    <w:rPr>
      <w:rFonts w:ascii="Arial" w:eastAsia="MS Mincho" w:hAnsi="Arial" w:cs="Arial"/>
      <w:sz w:val="24"/>
      <w:szCs w:val="24"/>
      <w:lang w:eastAsia="en-US"/>
    </w:rPr>
  </w:style>
  <w:style w:type="paragraph" w:customStyle="1" w:styleId="TableParagraph">
    <w:name w:val="Table Paragraph"/>
    <w:basedOn w:val="Normal"/>
    <w:uiPriority w:val="1"/>
    <w:qFormat/>
    <w:rsid w:val="00EA071F"/>
    <w:pPr>
      <w:widowControl w:val="0"/>
    </w:pPr>
    <w:rPr>
      <w:rFonts w:ascii="Cambria" w:eastAsia="MS Mincho" w:hAnsi="Cambria"/>
      <w:sz w:val="22"/>
      <w:szCs w:val="22"/>
      <w:lang w:val="en-US" w:eastAsia="en-US"/>
    </w:rPr>
  </w:style>
  <w:style w:type="paragraph" w:styleId="CommentSubject">
    <w:name w:val="annotation subject"/>
    <w:basedOn w:val="CommentText"/>
    <w:next w:val="CommentText"/>
    <w:link w:val="CommentSubjectChar"/>
    <w:semiHidden/>
    <w:unhideWhenUsed/>
    <w:rsid w:val="00950457"/>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50457"/>
    <w:rPr>
      <w:rFonts w:ascii="Arial" w:eastAsia="MS Mincho" w:hAnsi="Arial"/>
      <w:b/>
      <w:bCs/>
      <w:lang w:eastAsia="en-US"/>
    </w:rPr>
  </w:style>
  <w:style w:type="character" w:styleId="Hyperlink">
    <w:name w:val="Hyperlink"/>
    <w:basedOn w:val="DefaultParagraphFont"/>
    <w:unhideWhenUsed/>
    <w:rsid w:val="00965D01"/>
    <w:rPr>
      <w:color w:val="0563C1" w:themeColor="hyperlink"/>
      <w:u w:val="single"/>
    </w:rPr>
  </w:style>
  <w:style w:type="character" w:customStyle="1" w:styleId="Heading1Char">
    <w:name w:val="Heading 1 Char"/>
    <w:basedOn w:val="DefaultParagraphFont"/>
    <w:link w:val="Heading1"/>
    <w:rsid w:val="006923AC"/>
    <w:rPr>
      <w:rFonts w:asciiTheme="majorHAnsi" w:eastAsiaTheme="majorEastAsia" w:hAnsiTheme="majorHAnsi" w:cstheme="majorBidi"/>
      <w:b/>
      <w:bCs/>
      <w:color w:val="2E74B5" w:themeColor="accent1" w:themeShade="BF"/>
      <w:sz w:val="28"/>
      <w:szCs w:val="28"/>
    </w:rPr>
  </w:style>
  <w:style w:type="paragraph" w:styleId="TOC1">
    <w:name w:val="toc 1"/>
    <w:basedOn w:val="Normal"/>
    <w:uiPriority w:val="1"/>
    <w:qFormat/>
    <w:rsid w:val="00565CC8"/>
    <w:pPr>
      <w:widowControl w:val="0"/>
      <w:spacing w:before="199"/>
      <w:ind w:left="677"/>
    </w:pPr>
    <w:rPr>
      <w:rFonts w:ascii="Arial" w:eastAsia="Arial" w:hAnsi="Arial" w:cstheme="minorBidi"/>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4979">
      <w:bodyDiv w:val="1"/>
      <w:marLeft w:val="0"/>
      <w:marRight w:val="0"/>
      <w:marTop w:val="0"/>
      <w:marBottom w:val="0"/>
      <w:divBdr>
        <w:top w:val="none" w:sz="0" w:space="0" w:color="auto"/>
        <w:left w:val="none" w:sz="0" w:space="0" w:color="auto"/>
        <w:bottom w:val="none" w:sz="0" w:space="0" w:color="auto"/>
        <w:right w:val="none" w:sz="0" w:space="0" w:color="auto"/>
      </w:divBdr>
    </w:div>
    <w:div w:id="762338032">
      <w:bodyDiv w:val="1"/>
      <w:marLeft w:val="0"/>
      <w:marRight w:val="0"/>
      <w:marTop w:val="0"/>
      <w:marBottom w:val="0"/>
      <w:divBdr>
        <w:top w:val="none" w:sz="0" w:space="0" w:color="auto"/>
        <w:left w:val="none" w:sz="0" w:space="0" w:color="auto"/>
        <w:bottom w:val="none" w:sz="0" w:space="0" w:color="auto"/>
        <w:right w:val="none" w:sz="0" w:space="0" w:color="auto"/>
      </w:divBdr>
    </w:div>
    <w:div w:id="1373380586">
      <w:bodyDiv w:val="1"/>
      <w:marLeft w:val="0"/>
      <w:marRight w:val="0"/>
      <w:marTop w:val="0"/>
      <w:marBottom w:val="0"/>
      <w:divBdr>
        <w:top w:val="none" w:sz="0" w:space="0" w:color="auto"/>
        <w:left w:val="none" w:sz="0" w:space="0" w:color="auto"/>
        <w:bottom w:val="none" w:sz="0" w:space="0" w:color="auto"/>
        <w:right w:val="none" w:sz="0" w:space="0" w:color="auto"/>
      </w:divBdr>
    </w:div>
    <w:div w:id="1673681652">
      <w:bodyDiv w:val="1"/>
      <w:marLeft w:val="0"/>
      <w:marRight w:val="0"/>
      <w:marTop w:val="0"/>
      <w:marBottom w:val="0"/>
      <w:divBdr>
        <w:top w:val="none" w:sz="0" w:space="0" w:color="auto"/>
        <w:left w:val="none" w:sz="0" w:space="0" w:color="auto"/>
        <w:bottom w:val="none" w:sz="0" w:space="0" w:color="auto"/>
        <w:right w:val="none" w:sz="0" w:space="0" w:color="auto"/>
      </w:divBdr>
    </w:div>
    <w:div w:id="1871918605">
      <w:bodyDiv w:val="1"/>
      <w:marLeft w:val="0"/>
      <w:marRight w:val="0"/>
      <w:marTop w:val="0"/>
      <w:marBottom w:val="0"/>
      <w:divBdr>
        <w:top w:val="none" w:sz="0" w:space="0" w:color="auto"/>
        <w:left w:val="none" w:sz="0" w:space="0" w:color="auto"/>
        <w:bottom w:val="none" w:sz="0" w:space="0" w:color="auto"/>
        <w:right w:val="none" w:sz="0" w:space="0" w:color="auto"/>
      </w:divBdr>
    </w:div>
    <w:div w:id="19499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4306-CCBE-467C-839B-B76755FA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989</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North West Hospitals NHS Trust</vt:lpstr>
    </vt:vector>
  </TitlesOfParts>
  <Company>NWLH NHS Trust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West Hospitals NHS Trust</dc:title>
  <dc:creator>elizabethj</dc:creator>
  <cp:lastModifiedBy>Burbidge, Clementine</cp:lastModifiedBy>
  <cp:revision>4</cp:revision>
  <cp:lastPrinted>2019-04-18T10:40:00Z</cp:lastPrinted>
  <dcterms:created xsi:type="dcterms:W3CDTF">2019-05-28T13:11:00Z</dcterms:created>
  <dcterms:modified xsi:type="dcterms:W3CDTF">2019-05-28T16:02:00Z</dcterms:modified>
</cp:coreProperties>
</file>